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E" w:rsidRPr="00ED5F44" w:rsidRDefault="00146A8E" w:rsidP="00ED5F44">
      <w:pPr>
        <w:jc w:val="both"/>
        <w:rPr>
          <w:rFonts w:ascii="Times New Roman" w:hAnsi="Times New Roman"/>
          <w:noProof/>
        </w:rPr>
      </w:pPr>
      <w:r w:rsidRPr="00ED5F44">
        <w:rPr>
          <w:rFonts w:ascii="Times New Roman" w:hAnsi="Times New Roman"/>
        </w:rPr>
        <w:t xml:space="preserve"> </w:t>
      </w:r>
      <w:r w:rsidRPr="00ED5F44">
        <w:rPr>
          <w:rFonts w:ascii="Times New Roman" w:hAnsi="Times New Roman"/>
          <w:noProof/>
        </w:rPr>
        <w:t>ZP.261.48.4.2018</w:t>
      </w:r>
      <w:r w:rsidRPr="00ED5F44">
        <w:rPr>
          <w:rFonts w:ascii="Times New Roman" w:hAnsi="Times New Roman"/>
        </w:rPr>
        <w:tab/>
        <w:t xml:space="preserve">                                                                                    Lębork, dn. 17.08.2018 r.</w:t>
      </w:r>
    </w:p>
    <w:p w:rsidR="00146A8E" w:rsidRPr="00ED5F44" w:rsidRDefault="00146A8E" w:rsidP="00242A06">
      <w:pPr>
        <w:jc w:val="center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-63pt;width:453.6pt;height:58.9pt;z-index:-251658240;visibility:visible;mso-position-horizontal-relative:margin" wrapcoords="-36 0 -36 21327 21600 21327 21600 0 -36 0">
            <v:imagedata r:id="rId7" o:title=""/>
            <w10:wrap type="tight" anchorx="margin"/>
          </v:shape>
        </w:pict>
      </w:r>
      <w:r w:rsidRPr="00ED5F44">
        <w:rPr>
          <w:rFonts w:ascii="Times New Roman" w:hAnsi="Times New Roman"/>
          <w:b/>
        </w:rPr>
        <w:t>Uczestnicy postępowania</w:t>
      </w:r>
    </w:p>
    <w:p w:rsidR="00146A8E" w:rsidRDefault="00146A8E" w:rsidP="00ED5F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ED5F44">
        <w:rPr>
          <w:rFonts w:ascii="Times New Roman" w:hAnsi="Times New Roman"/>
          <w:b/>
        </w:rPr>
        <w:t>P-PN/UE/30/18</w:t>
      </w:r>
    </w:p>
    <w:p w:rsidR="00146A8E" w:rsidRPr="00ED5F44" w:rsidRDefault="00146A8E" w:rsidP="00ED5F44">
      <w:pPr>
        <w:jc w:val="center"/>
        <w:rPr>
          <w:rFonts w:ascii="Times New Roman" w:hAnsi="Times New Roman"/>
          <w:b/>
        </w:rPr>
      </w:pPr>
    </w:p>
    <w:p w:rsidR="00146A8E" w:rsidRPr="00ED5F44" w:rsidRDefault="00146A8E" w:rsidP="00ED5F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D5F44">
        <w:rPr>
          <w:rFonts w:ascii="Times New Roman" w:hAnsi="Times New Roman"/>
        </w:rPr>
        <w:t>Dotyczy: przetargu nieograniczonego na informatyzację SPS ZOZ w Lęborku, służącą poprawie jakości i efektywności obsługi pacjentów w ramach projektu „</w:t>
      </w:r>
      <w:r w:rsidRPr="00ED5F44">
        <w:rPr>
          <w:rFonts w:ascii="Times New Roman" w:hAnsi="Times New Roman"/>
          <w:i/>
        </w:rPr>
        <w:t>Wdrożenie interoperacyjnych i przygotowanych do integracji z platformą P1/P2 systemów informatycznych, w tym HIS/RIS/PACS w SPS ZOZ w Lęborku poprzez rozbudowę systemu obsługi informatycznej wszystkich procesów związanych z funkcjonowaniem szpitala zgodnie z zasadami określonymi w aktach prawnych dotyczących prowadzenia dokumentacji medycznej w wersji elektronicznej wraz z zakupem niezbędnego sprzętu komputerowego</w:t>
      </w:r>
      <w:r w:rsidRPr="00ED5F44">
        <w:rPr>
          <w:rFonts w:ascii="Times New Roman" w:hAnsi="Times New Roman"/>
        </w:rPr>
        <w:t xml:space="preserve">” współfinansowanego przez Unię Europejską ze środków Regionalnego Programu Operacyjnego Województwa Pomorskiego na lata 2014 – 2020 w ramach Osi Priorytetowej 7 Zdrowie, Działanie 7.2 Systemy informatyczne i telemedyczne. </w:t>
      </w:r>
    </w:p>
    <w:p w:rsidR="00146A8E" w:rsidRPr="00ED5F44" w:rsidRDefault="00146A8E" w:rsidP="00ED5F44">
      <w:pPr>
        <w:jc w:val="both"/>
        <w:rPr>
          <w:rFonts w:ascii="Times New Roman" w:hAnsi="Times New Roman"/>
          <w:bCs/>
        </w:rPr>
      </w:pPr>
      <w:r w:rsidRPr="00ED5F44">
        <w:rPr>
          <w:rFonts w:ascii="Times New Roman" w:hAnsi="Times New Roman"/>
          <w:bCs/>
          <w:u w:val="single"/>
        </w:rPr>
        <w:t>Znak sprawy: ZP-PN/</w:t>
      </w:r>
      <w:r>
        <w:rPr>
          <w:rFonts w:ascii="Times New Roman" w:hAnsi="Times New Roman"/>
          <w:bCs/>
          <w:u w:val="single"/>
        </w:rPr>
        <w:t>UE/30</w:t>
      </w:r>
      <w:r w:rsidRPr="00ED5F44">
        <w:rPr>
          <w:rFonts w:ascii="Times New Roman" w:hAnsi="Times New Roman"/>
          <w:bCs/>
          <w:u w:val="single"/>
        </w:rPr>
        <w:t>/18.</w:t>
      </w:r>
    </w:p>
    <w:p w:rsidR="00146A8E" w:rsidRDefault="00146A8E" w:rsidP="00ED5F44">
      <w:pPr>
        <w:pStyle w:val="Tekstpodstawowy21"/>
        <w:rPr>
          <w:rFonts w:ascii="Times New Roman" w:hAnsi="Times New Roman" w:cs="Times New Roman"/>
          <w:sz w:val="22"/>
          <w:szCs w:val="22"/>
        </w:rPr>
      </w:pPr>
      <w:r w:rsidRPr="00ED5F44">
        <w:rPr>
          <w:rFonts w:ascii="Times New Roman" w:hAnsi="Times New Roman" w:cs="Times New Roman"/>
          <w:sz w:val="22"/>
          <w:szCs w:val="22"/>
        </w:rPr>
        <w:t xml:space="preserve">Komisja przetargowa Samodzielnego Publicznego Specjalistycznego Zakładu Opieki Zdrowotnej                     w Lęborku, w związku z uwzględnieniem odwołania Wykonawcy Comarch Healthcare S.A. z siedzibą </w:t>
      </w:r>
      <w:r w:rsidRPr="00ED5F44">
        <w:rPr>
          <w:rFonts w:ascii="Times New Roman" w:hAnsi="Times New Roman" w:cs="Times New Roman"/>
          <w:sz w:val="22"/>
          <w:szCs w:val="22"/>
        </w:rPr>
        <w:br/>
        <w:t xml:space="preserve">w Krakowie, al. Jana Pawła II 39a, 31-864 Kraków, oraz w związku z udzielonymi odpowiedziami na pytania do SIWZ,  na podstawie art. 38  ust. 4 ustawy Prawo zamówień publicznych, informuje, że  </w:t>
      </w:r>
      <w:r w:rsidRPr="00ED5F44">
        <w:rPr>
          <w:rFonts w:ascii="Times New Roman" w:hAnsi="Times New Roman" w:cs="Times New Roman"/>
          <w:b/>
          <w:sz w:val="22"/>
          <w:szCs w:val="22"/>
        </w:rPr>
        <w:t xml:space="preserve">zmienia treść Specyfikacji Istotnych Warunków Zamówienia </w:t>
      </w:r>
      <w:r w:rsidRPr="00ED5F44">
        <w:rPr>
          <w:rFonts w:ascii="Times New Roman" w:hAnsi="Times New Roman" w:cs="Times New Roman"/>
          <w:sz w:val="22"/>
          <w:szCs w:val="22"/>
        </w:rPr>
        <w:t>w postępowaniu o udzielenie zamówienia publicznego prowadzonego w trybie przetargu nieograniczonego pod nazwą: Informatyzacja SPS ZOZ w Lęborku w ramach projektu „</w:t>
      </w:r>
      <w:r w:rsidRPr="00ED5F44">
        <w:rPr>
          <w:rFonts w:ascii="Times New Roman" w:hAnsi="Times New Roman" w:cs="Times New Roman"/>
          <w:i/>
          <w:sz w:val="22"/>
          <w:szCs w:val="22"/>
        </w:rPr>
        <w:t>Wdrożenie interoperacyjnych i przygotowanych do integracji z platformą P1/P2 systemów informatycznych, w tym HIS/RIS/PACS w SPS ZOZ w Lęborku poprzez rozbudowę systemu obsługi informatycznej wszystkich procesów związanych z funkcjonowaniem szpitala zgodnie z zasadami określonymi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5F44">
        <w:rPr>
          <w:rFonts w:ascii="Times New Roman" w:hAnsi="Times New Roman" w:cs="Times New Roman"/>
          <w:i/>
          <w:sz w:val="22"/>
          <w:szCs w:val="22"/>
        </w:rPr>
        <w:t>w aktach prawnych dotyczących prowadzenia dokumentacji medycznej w wersji elektronicznej wraz z zakupem niezbędnego sprzętu komputerowego</w:t>
      </w:r>
      <w:r w:rsidRPr="00ED5F44">
        <w:rPr>
          <w:rFonts w:ascii="Times New Roman" w:hAnsi="Times New Roman" w:cs="Times New Roman"/>
          <w:sz w:val="22"/>
          <w:szCs w:val="22"/>
        </w:rPr>
        <w:t xml:space="preserve">” współfinansowanego przez Unię Europejską ze środków Europejskiego Funduszu Rozwoju Regionalnego w ramach Regionalnego Programu Operacyjnego Województwa Pomorskiego na lata 2014-2020, znak sprawy: ZP-PN/UE/30/18, w zakresie: </w:t>
      </w:r>
    </w:p>
    <w:p w:rsidR="00146A8E" w:rsidRPr="00ED5F44" w:rsidRDefault="00146A8E" w:rsidP="00ED5F44">
      <w:pPr>
        <w:pStyle w:val="Tekstpodstawowy21"/>
        <w:rPr>
          <w:rFonts w:ascii="Times New Roman" w:hAnsi="Times New Roman" w:cs="Times New Roman"/>
          <w:sz w:val="10"/>
          <w:szCs w:val="10"/>
        </w:rPr>
      </w:pPr>
    </w:p>
    <w:p w:rsidR="00146A8E" w:rsidRPr="00ED5F44" w:rsidRDefault="00146A8E" w:rsidP="00ED5F4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ED5F44">
        <w:rPr>
          <w:rFonts w:ascii="Times New Roman" w:hAnsi="Times New Roman"/>
          <w:b/>
          <w:u w:val="single"/>
        </w:rPr>
        <w:t>Zmiany treści SIWZ w następującym zakresie:</w:t>
      </w:r>
    </w:p>
    <w:p w:rsidR="00146A8E" w:rsidRPr="00ED5F44" w:rsidRDefault="00146A8E" w:rsidP="00ED5F4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ED5F44">
        <w:rPr>
          <w:rFonts w:ascii="Times New Roman" w:hAnsi="Times New Roman"/>
        </w:rPr>
        <w:t>Część  V  Warunki udziału w postępowaniu ppkt 1. 2.  Ust. 3) otrzymuje brzmienie:</w:t>
      </w:r>
    </w:p>
    <w:p w:rsidR="00146A8E" w:rsidRPr="00ED5F44" w:rsidRDefault="00146A8E" w:rsidP="00ED5F4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  <w:b/>
        </w:rPr>
        <w:t xml:space="preserve"> </w:t>
      </w:r>
      <w:r w:rsidRPr="00ED5F44">
        <w:rPr>
          <w:rFonts w:ascii="Times New Roman" w:hAnsi="Times New Roman"/>
          <w:b/>
        </w:rPr>
        <w:tab/>
        <w:t xml:space="preserve">„ </w:t>
      </w:r>
      <w:r w:rsidRPr="00ED5F44">
        <w:rPr>
          <w:rFonts w:ascii="Times New Roman" w:hAnsi="Times New Roman"/>
          <w:i/>
        </w:rPr>
        <w:t>Zdolności technicznej i zawodowej; Wykonawca spełni warunek jeżeli wykaże, że:</w:t>
      </w:r>
    </w:p>
    <w:p w:rsidR="00146A8E" w:rsidRPr="00ED5F44" w:rsidRDefault="00146A8E" w:rsidP="00ED5F44">
      <w:pPr>
        <w:widowControl w:val="0"/>
        <w:numPr>
          <w:ilvl w:val="1"/>
          <w:numId w:val="14"/>
        </w:numPr>
        <w:tabs>
          <w:tab w:val="clear" w:pos="1440"/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  <w:i/>
        </w:rPr>
        <w:t xml:space="preserve">w okresie ostatnich </w:t>
      </w:r>
      <w:r w:rsidRPr="00ED5F44">
        <w:rPr>
          <w:rFonts w:ascii="Times New Roman" w:hAnsi="Times New Roman"/>
          <w:i/>
          <w:color w:val="FF0000"/>
        </w:rPr>
        <w:t>5 lat</w:t>
      </w:r>
      <w:r w:rsidRPr="00ED5F44">
        <w:rPr>
          <w:rFonts w:ascii="Times New Roman" w:hAnsi="Times New Roman"/>
          <w:i/>
        </w:rPr>
        <w:t xml:space="preserve"> przed upływem terminu składania ofert, a jeżeli okres prowadzenia działalności jest krótszy - w tym okresie wykonał co najmniej dwie usługi o wartości co najmniej 2 000 000, 00 zł brutto każda, polegające na wdrożeniu w podmiocie leczniczym systemu informatycznego służącego do obsługi procesów leczenia pacjentów, w tym e-usług, zrealizowane dla podmiotu leczniczego w rozumieniu art. 4 ust. 1 ustawy z 15.04.2011 r. o działalności leczniczej (t.j. Dz. U. z 2018 r. poz. 160 ze zm.), z czego:</w:t>
      </w:r>
    </w:p>
    <w:p w:rsidR="00146A8E" w:rsidRPr="00ED5F44" w:rsidRDefault="00146A8E" w:rsidP="00ED5F44">
      <w:pPr>
        <w:widowControl w:val="0"/>
        <w:numPr>
          <w:ilvl w:val="1"/>
          <w:numId w:val="15"/>
        </w:numPr>
        <w:tabs>
          <w:tab w:val="clear" w:pos="1440"/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  <w:i/>
        </w:rPr>
        <w:t>każda z usług obejmowała dostawę, wdrożenie i konfigurację oprogramowania HIS oraz integrację oprogramowania HIS, RIS, PACS, LIS oraz dostawę, wdrożenie i konfigurację oprogramowania obejmującego e-usługi oraz</w:t>
      </w:r>
    </w:p>
    <w:p w:rsidR="00146A8E" w:rsidRPr="00ED5F44" w:rsidRDefault="00146A8E" w:rsidP="00ED5F44">
      <w:pPr>
        <w:widowControl w:val="0"/>
        <w:numPr>
          <w:ilvl w:val="1"/>
          <w:numId w:val="15"/>
        </w:numPr>
        <w:tabs>
          <w:tab w:val="clear" w:pos="1440"/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  <w:i/>
        </w:rPr>
        <w:t>przynajmniej jedna z usług obejmowała budowę sieci komputerowej zawierającej co najmniej 200 punktów logicznych oraz</w:t>
      </w:r>
    </w:p>
    <w:p w:rsidR="00146A8E" w:rsidRPr="00ED5F44" w:rsidRDefault="00146A8E" w:rsidP="00ED5F44">
      <w:pPr>
        <w:widowControl w:val="0"/>
        <w:numPr>
          <w:ilvl w:val="1"/>
          <w:numId w:val="15"/>
        </w:numPr>
        <w:tabs>
          <w:tab w:val="clear" w:pos="1440"/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  <w:i/>
        </w:rPr>
        <w:t>przynajmniej jedna z usług obejmowała dostawę sprzętu komputerowego”.</w:t>
      </w:r>
    </w:p>
    <w:p w:rsidR="00146A8E" w:rsidRPr="00ED5F44" w:rsidRDefault="00146A8E" w:rsidP="00DD57CC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ED5F44">
        <w:rPr>
          <w:rFonts w:ascii="Times New Roman" w:hAnsi="Times New Roman"/>
        </w:rPr>
        <w:t>Po pkt 15 w części XVIII SIWZ, dodaje się pkt 16 o treści:</w:t>
      </w:r>
    </w:p>
    <w:p w:rsidR="00146A8E" w:rsidRPr="00ED5F44" w:rsidRDefault="00146A8E" w:rsidP="00242A06">
      <w:pPr>
        <w:spacing w:after="0" w:line="240" w:lineRule="auto"/>
        <w:ind w:left="1620" w:hanging="540"/>
        <w:jc w:val="both"/>
        <w:rPr>
          <w:rFonts w:ascii="Times New Roman" w:hAnsi="Times New Roman"/>
          <w:i/>
        </w:rPr>
      </w:pPr>
      <w:r w:rsidRPr="00ED5F44">
        <w:rPr>
          <w:rFonts w:ascii="Times New Roman" w:hAnsi="Times New Roman"/>
        </w:rPr>
        <w:t>“16.</w:t>
      </w:r>
      <w:r w:rsidRPr="00ED5F44">
        <w:rPr>
          <w:rFonts w:ascii="Times New Roman" w:hAnsi="Times New Roman"/>
        </w:rPr>
        <w:tab/>
      </w:r>
      <w:r w:rsidRPr="00ED5F44">
        <w:rPr>
          <w:rFonts w:ascii="Times New Roman" w:hAnsi="Times New Roman"/>
          <w:i/>
        </w:rPr>
        <w:t xml:space="preserve">Dokumentacja interfejsów wymiany danych z systemami zewnętrznymi </w:t>
      </w:r>
      <w:r w:rsidRPr="00ED5F44">
        <w:rPr>
          <w:rFonts w:ascii="Times New Roman" w:hAnsi="Times New Roman"/>
          <w:i/>
        </w:rPr>
        <w:tab/>
        <w:t>- Załączniki</w:t>
      </w:r>
      <w:bookmarkStart w:id="0" w:name="_GoBack"/>
      <w:bookmarkEnd w:id="0"/>
      <w:r w:rsidRPr="00ED5F44">
        <w:rPr>
          <w:rFonts w:ascii="Times New Roman" w:hAnsi="Times New Roman"/>
          <w:i/>
        </w:rPr>
        <w:t xml:space="preserve"> nr 10a, 10b, 10c”</w:t>
      </w:r>
    </w:p>
    <w:p w:rsidR="00146A8E" w:rsidRPr="00ED5F44" w:rsidRDefault="00146A8E" w:rsidP="00ED5F44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  <w:r w:rsidRPr="00ED5F44">
        <w:rPr>
          <w:rFonts w:ascii="Times New Roman" w:hAnsi="Times New Roman"/>
          <w:b/>
        </w:rPr>
        <w:t>Dodane załączniki nr 10a, 10b i 10c, zostaną w dniu dzisiejszym zamieszczone na stronie internetowej Zamawiającego, na której zamieszczono ogłoszenie o zamówieniu.;</w:t>
      </w:r>
    </w:p>
    <w:p w:rsidR="00146A8E" w:rsidRPr="00ED5F44" w:rsidRDefault="00146A8E" w:rsidP="00DD57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ED5F44">
        <w:rPr>
          <w:rFonts w:ascii="Times New Roman" w:hAnsi="Times New Roman"/>
          <w:b/>
          <w:u w:val="single"/>
        </w:rPr>
        <w:t>Załącznika nr 9 do SIWZ gdzie:</w:t>
      </w:r>
    </w:p>
    <w:p w:rsidR="00146A8E" w:rsidRPr="00ED5F44" w:rsidRDefault="00146A8E" w:rsidP="00DD57C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ED5F44">
        <w:rPr>
          <w:rFonts w:ascii="Times New Roman" w:hAnsi="Times New Roman"/>
        </w:rPr>
        <w:t>wymóg:</w:t>
      </w:r>
      <w:r w:rsidRPr="00ED5F44">
        <w:rPr>
          <w:rFonts w:ascii="Times New Roman" w:hAnsi="Times New Roman"/>
          <w:i/>
          <w:color w:val="000000"/>
        </w:rPr>
        <w:t xml:space="preserve"> „Wykonawca zobowiązany jest do złożenia wraz z ofertą próbki oferowanego Systemu zgodnie z poniższymi wytycznymi:”</w:t>
      </w:r>
    </w:p>
    <w:p w:rsidR="00146A8E" w:rsidRPr="00ED5F44" w:rsidRDefault="00146A8E" w:rsidP="00DD57CC">
      <w:pPr>
        <w:pStyle w:val="ListParagraph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ED5F44">
        <w:rPr>
          <w:rFonts w:ascii="Times New Roman" w:hAnsi="Times New Roman"/>
        </w:rPr>
        <w:t xml:space="preserve">otrzymuje brzmienie: </w:t>
      </w:r>
      <w:r w:rsidRPr="00ED5F44">
        <w:rPr>
          <w:rFonts w:ascii="Times New Roman" w:hAnsi="Times New Roman"/>
          <w:i/>
          <w:color w:val="000000"/>
        </w:rPr>
        <w:t>„</w:t>
      </w:r>
      <w:bookmarkStart w:id="1" w:name="_Hlk521925601"/>
      <w:r w:rsidRPr="00ED5F44">
        <w:rPr>
          <w:rFonts w:ascii="Times New Roman" w:hAnsi="Times New Roman"/>
          <w:i/>
          <w:color w:val="000000"/>
        </w:rPr>
        <w:t>Wykonawca, którego oferta zostanie uznana za najkorzystniejszą zobowiązany będzie do złożenia na wezwanie Zamawiającego próbki oferowanego Systemu:”</w:t>
      </w:r>
      <w:bookmarkEnd w:id="1"/>
    </w:p>
    <w:p w:rsidR="00146A8E" w:rsidRPr="00ED5F44" w:rsidRDefault="00146A8E" w:rsidP="00DD57C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ED5F44">
        <w:rPr>
          <w:rFonts w:ascii="Times New Roman" w:hAnsi="Times New Roman"/>
        </w:rPr>
        <w:t>pkt 1 otrzymuje brzmienie: „</w:t>
      </w:r>
      <w:r w:rsidRPr="00ED5F44">
        <w:rPr>
          <w:rFonts w:ascii="Times New Roman" w:hAnsi="Times New Roman"/>
          <w:i/>
          <w:color w:val="000000"/>
        </w:rPr>
        <w:t>oprogramowanie, wchodzące w skład weryfikowanej próbki powinno być zainstalowane na komputerze przenośnym, który Wykonawca przekaże Zamawiającemu do depozytu. Razem z komputerem powinny być również przekazane wszelkie inne elementy sprzętowe, które będą niezbędne do prezentacji weryfikowanej próbki,”</w:t>
      </w:r>
    </w:p>
    <w:p w:rsidR="00146A8E" w:rsidRPr="00ED5F44" w:rsidRDefault="00146A8E" w:rsidP="00DD57C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ED5F44">
        <w:rPr>
          <w:rFonts w:ascii="Times New Roman" w:hAnsi="Times New Roman"/>
        </w:rPr>
        <w:t>pkt 9 otrzymuje brzmienie:</w:t>
      </w:r>
    </w:p>
    <w:p w:rsidR="00146A8E" w:rsidRPr="00ED5F44" w:rsidRDefault="00146A8E" w:rsidP="00ED5F4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i/>
          <w:color w:val="000000"/>
        </w:rPr>
      </w:pPr>
      <w:r w:rsidRPr="00ED5F44">
        <w:rPr>
          <w:rFonts w:ascii="Times New Roman" w:hAnsi="Times New Roman"/>
          <w:i/>
        </w:rPr>
        <w:t>“ 9) Scenariusz prezentacji jest następujący:</w:t>
      </w:r>
    </w:p>
    <w:tbl>
      <w:tblPr>
        <w:tblW w:w="949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"/>
        <w:gridCol w:w="567"/>
        <w:gridCol w:w="7168"/>
        <w:gridCol w:w="1756"/>
      </w:tblGrid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A8E" w:rsidRPr="00DD57CC" w:rsidRDefault="00146A8E" w:rsidP="00DD57C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D57CC">
              <w:rPr>
                <w:rFonts w:ascii="Times New Roman" w:hAnsi="Times New Roman"/>
                <w:b/>
                <w:i/>
              </w:rPr>
              <w:t>Lp.</w:t>
            </w:r>
          </w:p>
        </w:tc>
        <w:tc>
          <w:tcPr>
            <w:tcW w:w="71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A8E" w:rsidRPr="00DD57CC" w:rsidRDefault="00146A8E" w:rsidP="00DD57C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D57CC">
              <w:rPr>
                <w:rFonts w:ascii="Times New Roman" w:hAnsi="Times New Roman"/>
                <w:b/>
                <w:i/>
              </w:rPr>
              <w:t>Opis wymagania funkcjonalnego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A8E" w:rsidRPr="00DD57CC" w:rsidRDefault="00146A8E" w:rsidP="00DD57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57CC">
              <w:rPr>
                <w:rFonts w:ascii="Times New Roman" w:hAnsi="Times New Roman"/>
                <w:b/>
                <w:i/>
                <w:sz w:val="20"/>
                <w:szCs w:val="20"/>
              </w:rPr>
              <w:t>Informacja na temat posiadania funkcjonalności przez dostarczoną próbkę (“TAK” lub “NIE”)</w:t>
            </w: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726CB2" w:rsidRDefault="00146A8E" w:rsidP="00DD57CC">
            <w:pPr>
              <w:spacing w:after="0" w:line="240" w:lineRule="auto"/>
              <w:rPr>
                <w:b/>
              </w:rPr>
            </w:pPr>
            <w:r w:rsidRPr="00726CB2">
              <w:rPr>
                <w:b/>
              </w:rPr>
              <w:t>Wymagania ogólne HIS / Konfiguracja i administrowanie</w:t>
            </w:r>
          </w:p>
        </w:tc>
      </w:tr>
      <w:tr w:rsidR="00146A8E" w:rsidRPr="00726CB2" w:rsidTr="006E584F">
        <w:trPr>
          <w:trHeight w:val="1946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8A5CD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D57CC">
              <w:rPr>
                <w:rFonts w:ascii="Times New Roman" w:hAnsi="Times New Roman"/>
              </w:rPr>
              <w:t>System, co najmniej, w zakresie aplikacji izby przyjęć, oddziału, SOR i zleceń, rejestracji, gabinetu lekarskiego, rehabilitacji, pracowni diagnostycznej i patomorfologii, apteki, apteczek oddziałowych, SUM rozliczeń z NFZ, SUM Komercji, gruperem JGP, symulatorem JGP i ryczałtu, bloku operacyjnego i porodowego, zakażeń szpitalnych, archiwum papierowej dokumentacji medycznej, EDM powinien pracować w oparciu o tę samą bazę danych, przez co należy rozumieć tę samą instancję bazy danych, te same tabele. Niedopuszczalne jest przekazywanie i dublowanie danych w zakresie w/w systemów.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17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8A5CD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D57CC">
              <w:rPr>
                <w:rFonts w:ascii="Times New Roman" w:hAnsi="Times New Roman"/>
              </w:rPr>
              <w:t>Ręczne i automatyczne, na podstawie częstotliwości użycia, wyróżnienie w słownika pozycji najczęściej używanych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8A5CD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D57CC">
              <w:rPr>
                <w:rFonts w:ascii="Times New Roman" w:hAnsi="Times New Roman"/>
              </w:rPr>
              <w:t>W każdym polu edycyjnym(opisowym) tj. np. treść wywiadu powinna istnieć możliwość wybrania i skorzystania z dowolnego formularza, tekstu standardowego lub wczytania tekstu zapisanego w pliku zewnętrznym. Powinna również w tych miejscach istnieć możliwość zapisu do zewnętrznego pliku przygotowanego tekstu oraz powinny być udostępnione podstawowe narzędzia ułatwiające edycję np. kopiuj/wklej, możliwość wstawiania znaków specjalnych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umożliwiać sprawdzanie poprawności pisowni w polach opisowych tj. opis badania, wynik, epikryza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przeglądanie historii choroby, wyników badań, dokumentacji, zleceń na jednym ekranie z jednego i wielu pobytów. System musi umożliwiać porównywanie tych danych.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E568BE">
        <w:trPr>
          <w:trHeight w:val="7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umożliwiać wyłączanie niewykorzystanych elementów menu czy zakładek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umożliwiać zmianę kolejności prezentacji elementów menu czy zakładek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 systemie musi zostać zachowana zasada jednokrotnego wprowadzania danych. Wymiana danych pomiędzy modułami musi odbywać się na poziomie bazy danych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811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wylogowywać lub blokować sesję użytkownika po zadanym czasie braku aktywności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wyświetlać czas pozostały do wylogowania (zablokowania) użytkownika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zawierać komunikator umożliwiający wymianę wiadomości pomiędzy użytkownikami.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Wszystkie błędy niewypełnienie pól obligatoryjnych oraz błędnego wypełnienia powinny być prezentowane w jednym komunikacie z możliwością szybkiego przejścia od niego bezpośrednio do miejsca aplikacji, gdzie te błędy wystąpiły.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Dodawanie komórki organizacyjnej (oddziału/odcinków dla oddziału) z poziomu podglądu struktury komórek w szpitalu. Określenie jej nazwy długiej, skrótowej, kodu, typu komórki, poszczególnych kodów resortowych (możliwość wyboru ze słownika), określenie kodu technicznego NFZ (w zakresie dat, z możliwością późniejszej zmiany), powiązanie z określonym kodem OPK.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Wprowadzenie danych adresowych/kontaktowych oddziału, jego personelu wraz z rolami (lekarz/pielęgniarka, etc.) z możliwością przejścia do edycji danych tego personelu (PESEL, numer prawa, specjalności).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Parametryzacja nowej komórki umożliwia ustalenie domyślnego produktu rozliczeniowego a także domyślnego świadczenia. Ustawienie domyślnego trybu przyjęcia, kodu MZ, listy procedur ICD9 do ewidencji przy przyjęciu pacjenta.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Utworzenie zasobów (sale i łóżka) dla komórki z późniejszą możliwością przypisania pacjenta do danego łóżka i generowanie raportów ruchu oddziałowego z zajętością łóżek.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Zdefiniowanie nowego badania z powiązanym kodem ICD9 oraz kodem MZ oraz świadczeniem jednostkowym NFZ (rozliczenie). Ograniczenie możliwości jego zlecania i wykonania przez konkretne komórki (możliwość skopiowania takiego ograniczenia z wcześniej zdefiniowanego badania). Sprawdzenie działania na przykładzie wizyty w gabinecie lekarskim.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Tworzenie grup/ról i przypisywanie do nich użytkowników. Zdefiniowane  wbudowane grupy uprawnień i przypisywanie ich grup/ról.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Dostęp do modułów Ruchu Chorych (leczenie otwarte i zamknięte, statystyka), Aptecznych, Bloku Operacyjnego, Pracowni, Rehabilitacji i Rozliczeń NFZ, Zakażeń powinien odbywać się poprzez jednokrotne zalogowanie użytkownika i umożliwiać przechodzenie między modułami bez konieczności ponownego logowania się.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Sterowanie uprawnieniami użytkowników z dokładnością do poszczególnych elementów modułów z komunikatem dla użytkownika, że nie ma odpowiednich uprawnień (i jakiego konkretnie brakuje). Po nadaniu uprawnienia możliwe jest uzyskanie dostępu do danej funkcji bez konieczności ponownego zalogowania się do modułu.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 module administratora możliwe jest uzyskanie  zestawienia uprawnień użytkowników do komórki z uwzględnieniem faktu, czy dane prawo (lub kilka) zostało nadane bezpośrednio użytkownikowi, czy też grupie/roli, do której go przypisano, istnieje możliwość multiwybiru użytkowników do zestawienia.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Zestawienie uprawnień użytkowników z dokładnością do konkretnej daty i minuty. Weryfikacja, czy po odebraniu uprawnienia lista się zmieni dla kolejnej minuty.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Zapisywanie w logach dostępnych z poziomu modułu administratora kto i kiedy się logował do programu i czy z sukcesem, czy błędnie.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Administracyjna możliwość anulowania i usuwania zleceń laboratoryjnych dla konkretnego pacjenta.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Uzyskanie z modułu administratora listy bieżących sesji użytkowników, z możliwością wysyłania komunikatów, czy też wyrzucenia/rozłączenia danego użytkownika.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Wysyłanie komunikatów do wybranych użytkowników, do wszystkich, z oznaczeniem, czy wiadomość musi być potwierdzona, czy nie i ile czasu ma być aktywna.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Podpinanie certyfikatów ZUS do użytkowników.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Szpitalny Oddział Ratunkowy (SOR)</w:t>
            </w: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Na panelu głównym pulpitu SOR, oraz na liście pacjentów system powinien prezentować liczbę pacjentów SOR w podziale na statusy pilności (TRAGE). Przypisanie i zmiana statusu pilności powinna wymusić aktualizację statystyk liczb pacjentów w podziale na statusy.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Dla pacjentów z określoną kategorią TRIAGE, system powinien wyświetlać aktualne wyniki pomiarów. Powinna istnieć możliwość wyboru prezentowanych pomiarów. 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Bank krwi</w:t>
            </w: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definiowanie słowników: preparatów, rodzaju preparatu, magazynów, jednostek miar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rezerwacji krwi lub preparatu krwiopochodnego dla zamówienia indywidualnego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przyjęcia krwi lub preparatu krwiopochodnego na magazyn z wykorzystaniem czytnika kodów kreskowych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Sporządzanie zamówień do stacji krwiodawstwa,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Obsługa citowych zamówień z jednostek zamawiających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Przegląd i wydruk księgi transfuzji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Obsługa dokumentów magazynowych: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Bilans otwarcia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Przychód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Rozchód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Kasacja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Zwrot do dostawcy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spis z natury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remanent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Przegląd stanów magazynowych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57CC">
              <w:rPr>
                <w:rFonts w:ascii="Times New Roman" w:hAnsi="Times New Roman"/>
                <w:b/>
              </w:rPr>
              <w:t xml:space="preserve">Archiwum Elektronicznej Dokumentacji Medycznej </w:t>
            </w: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wersjonowania przechowywanych dokumentów z dostępem do pełnej historii poprzednich wersji.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definiowania nowych typów dokumentów obsługiwanych przez repozytorium dokumentów elektronicznych.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zarządzania uprawnieniami do wykonywania operacji na poszczególnych typach dokumentów w ramach całej placówki lub poszczególnych jednostek organizacyjnych. Przykłady uprawnień do dokumentów: dodawanie dokumentów do repozytorium, odczyt dokumentu, podpisywanie dokumentu, znakowanie czasem dokumentu, import i eksport dokumentu, anulowanie dokumentu, wydruk dokumentu itd.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Indeks dokumentacji powinien być zorientowany na informacje o dokumencie: autor, data powstania, rozmiar, typ, data powstania itp., oraz na informacje o zdarzeniach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Sprzedaż usług medycznych – rozliczenia komercyjne</w:t>
            </w: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wybór płatnika w ramach kategorii (płatnik NFZ, umowa komercyjna, pacjent płaci sam)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1266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Podczas weryfikacji uprawnień do świadczeń system powinien umożliwiać: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wspólną prezentację uprawnień komercyjnych oraz uprawnień NFZ i POZ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udostępniać informacje o powodzie niedostępności usługi i ograniczeniach dostępności,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Portal e-Usług (informacyjny e-zdrowie)</w:t>
            </w:r>
          </w:p>
        </w:tc>
      </w:tr>
      <w:tr w:rsidR="00146A8E" w:rsidRPr="00726CB2" w:rsidTr="006E584F">
        <w:trPr>
          <w:trHeight w:val="885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e-pacjent: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Rejestracja konta użytkownika, który jest lub potencjalnie będzie pacjentem jednostki: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system musi umożliwiać rejestracje podstawowych danych pacjenta tj.: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-- imię, nazwisko,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-- dane identyfikacyjne pacjenta: nr PESEL albo numer ewidencyjny lub numer dokumentu tożsamości nadane we wskazanym kraju (w przypadku rejestracji obcokrajowców),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system musi umożliwiać rejestrację adresu e-mail użytkownika portalu, o ile weryfikowany jest taki kanał komunikacyjny,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system musi umożliwiać rejestrację nr telefonu komórkowego użytkownika portalu, o ile weryfikowany jest taki kanał komunikacyjny,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system podczas rejestracji użytkownika musi wymuszać akceptację regulaminu portalu, oraz zgody na przetwarzanie danych osobowych zgodnie z aktualnymi przepisami prawa,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56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e-pacjent: System musi zapisywać logi z działania, w postaci umożliwiającej dalsze ich przetwarzanie w dedykowanych narzędziach (np. Logstash).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569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e- Rejestracja: System umożliwia lub wymusza (w zależności od konfiguracji dla danej usługi) rejestrację danych skierowania,  w przypadku rezerwacji terminu dotyczącego świadczeń wymagających skierowania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94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Ruch Chorych – Izba Przyjęć/Oddział</w:t>
            </w: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system musi umożliwiać wyszukiwanie pacjentów, co najmniej, wg kryterium: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status eWUŚ,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imię, nazwisko,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PESEL,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identyfikator pacjenta w systemie informatycznym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rok pobytu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nr w księdze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rozpoznanie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lekarz badający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pacjenci leczoni we wskazanym roku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wymagające zafakturowania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umożliwić wprowadzenie daty uzyskania pełnoletniości dla pacjentów, którzy nie ukończyli 18 roku życia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562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Podczas przyjmowania pacjenta skierowanego z gabinetu lekarskiego, działającego w strukturach jednostki, system powinien informować, że pacjent taki oczekuje na przyjęcie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umożliwić rejestrację informacji o planowanym czasie hospitalizacji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prezentować czas, jaki upłynął od ostatniej hospitalizacji, w tym hospitalizacji o tym samym rozpoznaniu, co aktualna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311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umożliwić rejestrację wywiadu wstępnego z możliwością użycia słownika tekstów standardowych lub zdefiniowanych formularzy,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109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sygnalizować brak rozpoznania dodatkowego z zakresu V-Y przy podanym rozpoznaniu zasadniczym z grup S-T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475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System musi umożliwić ewidencję przepustek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umożliwić oznaczenie na przepustce pacjenta możliwości rozliczenia rezerwacji łóżka w oddziale psychiatrycznym.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56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ewidencję diagnoz pielęgniarskich, co najmniej, w zakresie: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wprowadzania diagnoz (przy użyciu słownika diagnoz funkcjonującego w szpitalu)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wprowadzania procedur wynikających z diagnozy przy użyciu słownika INCP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ustalenie listy diagnoz preferowanych dla jednostki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przegląd diagnoz z poprzednich pobytów pacjenta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realizacji procedur wynikających z diagnoz,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dodania lub usuwania wielu procedur jednocześnie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odnotowania realizacji wielu procedur jednocześnie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edycji opisu wykonanej procedury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planu realizacji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wydruku indywidualnej karty procesu pielęgnacji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zbiorczej realizacji procedur wynikających z jednej lub wielu diagnoz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zbiorczej realizacji procedur dla wielu pacjentów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544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rejestrację przebiegu pielęgniarskiego bezpośrednio z listy pacjentów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768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Podczas kończenia pobytu, jeśli stwierdzono wystąpienie patogenu alarmowego a karta zakażenia szpitalnego nie została wystawiona, system wymaga wypełnienie tej karty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projektowania formularzy dokumentacji medycznej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Rozchód leków na pacjenta z poziomu oddziału generuje dokument rozchodowy i aktualizuje stany magazynowe apteczki. Z poziomu oddziału w danych pobytu widoczna jest informacja o podanych lekach i stamtąd możliwość śledzenia zmian dla danej pozycji.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trHeight w:val="28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Ewidencja danych porodu (z czasami trwania poszczególnych okresów) z poziomu pobytu oddziałowego, dodanie noworodka i jego parametrów życiowych, przegląd z tego poziomu jego danych osobowych, wycofanie noworodka błędnie wprowadzonego.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OLE_LINK28"/>
            <w:bookmarkStart w:id="3" w:name="OLE_LINK29"/>
            <w:r w:rsidRPr="00DD57CC">
              <w:rPr>
                <w:rFonts w:ascii="Times New Roman" w:hAnsi="Times New Roman"/>
              </w:rPr>
              <w:t>Ewidencja w pobycie OIOM kart TISS28,  powielenie na kolejny dzień już zarejestrowanej wcześniej karty TISS28</w:t>
            </w:r>
            <w:bookmarkEnd w:id="2"/>
            <w:bookmarkEnd w:id="3"/>
            <w:r w:rsidRPr="00DD57CC">
              <w:rPr>
                <w:rFonts w:ascii="Times New Roman" w:hAnsi="Times New Roman"/>
              </w:rPr>
              <w:t>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Dodanie pakietu materiałów podczas grupowego dodawania leków.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Przepięcie danych kosztowych (np. wykonanego badania) z IP/SOR w przypadku przyjęcia pacjenta na oddział.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Zlecenia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Podczas odnotowania podania leku system powinien umożliwiać wybór serii leku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System musi pozwalać na wyróżnianie kolorem zleceń leków zlecanych z innych magazynów 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System musi umożliwiać zlecanie podań leków o określonych porach oraz co określony czas, od pierwszego podania co X godzin </w:t>
            </w:r>
            <w:r w:rsidRPr="00DD57CC">
              <w:rPr>
                <w:rFonts w:ascii="Times New Roman" w:hAnsi="Times New Roman"/>
                <w:strike/>
              </w:rPr>
              <w:t>i Y minut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umożliwiać realizację podań leków z wykorzystaniem kodów kreskowych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Dla zleceń laboratoryjnych musi istnieć możliwość określenia planowanej godziny wykonania badania. System powinien podpowiadać domyślne godziny pobrań materiałów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umożliwiać zlecanie wielu różnych badań w jednym miejscu, opatrzony wspólnym nagłówkiem i komentarzem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powinien podpowiadać, na zleceniu, rozpoznania zasadniczego a w przypadku jego braku rozpoznania wstępnego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umożliwić graficzną prezentację wyników badań z uwzględnieniem, na osi czasu, podanych leków i wykonanych procedur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zapewnić możliwość wyświetlania wyników w układzie tabelarycznym z możliwością śledzenia zmian wyników i zmiany kolejności porównywanych parametrów (np. w wyniku morfologii)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Apteka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Sporządzanie zamówień doraźnych do dostawców środków farmaceutycznych i materiałów medycznych. Zamówienia mogą być przygotowywane na podstawie aktualnych stanów magazynowych, stanów minimalnych i maksymalnych,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Analiza interakcji pomiędzy składnikami leków wydanych pacjentowi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Powiadomienie o nowym zamówieniu z Apteczek Oddziałowych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Przegląd stanów magazynowych, z filtrowaniem wg pozycji przeterminowanych, wg kodu ATC, z możliwością przejścia z listy indeksów do karty materiału/leku, do listy obrotów materiałem z dokumentami magazynowymi.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Nadanie uprawnień użytkownikowi do wybranych dokumentów magazynowych na odpowiednim magazynie, ograniczanie zlecania zamówień z apteczki do apteki oddzielnie na standardowe leki i na narkotyczne.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Zestawienia przychodów i rozchodów wg materiałów, wg rodzajów kosztów szczegółowych, w rozbiciu na okresy, na poszczególne materiały analitycznie, czy na dokumenty magazynowe, wraz z ograniczeniem np. do grup kodów ATC.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Tworzenie dekretów księgowych z możliwością budowania struktur z OPKów, stałych znaków, kont kosztów dla materiału/leku i z weryfikacją, czy taki dekret się prawidłowo bilansuje.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budowania w module własnych wykazów z danych dotyczących apteki, apteczek za pomocą składni SQL.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Przygotowanie danych do wysyłki JPK_MAG. Filtrowanie historycznych plików na podstawie daty utworzenia, magazynu, statusu dla wskazanego okresu.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Blok operacyjny / Patomorfologia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dokonanie klasyfikacji lekarskiej (chirurgicznej) do zabiegu obejmującej, co najmniej: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rodzaj planowanego zabiegu,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tryb zabiegu (planowy, przyspieszony, pilny, natychmiastowy),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rozpoznanie przedoperacyjne ICD9 oraz opisowe,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dostęp do pola operacyjnego z wykorzystaniem definiowalnego słownika,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wymagane ułożenie pacjenta z wykorzystaniem definiowalnego słownika, z możliwością wyboru wielu pozycji 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datę kwalifikacji,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wskazanie, ze słownika personelu, lekarza dokonujący kwalifikacji,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możliwość załączenia formularza definiowanego przez użytkownika,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umożliwić zaplanowanie przerw technicznych pomiędzy zabiegami (czas na przygotowanie i posprzątanie Sali)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Blok porodowy: Ewidencja danych wywiadu położniczego w zakresie: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Przebieg i powikłania ciąży (dane opisowe lub formularz)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Dane statystyczne dot. poprzednich porodów pacjentki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dzieci ogółem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żywo urodzonych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martwo urodzonych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dzieci z wadami rozwojowymi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dzieci zmarłych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W aktualnym małżeństwie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Liczba ciąż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porodów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Liczba poronień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porodów o czasie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Liczba porodów przedwczesnych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Liczba porodów niewczesnych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Liczba porodów siłami natury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Liczba porodów patologicznych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Data pierwszej miesiączki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Dzień cyklu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Dane poprzedniego porodu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Data poprzedniego porodu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żywe, martwe, brak danych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Informacje o ewentualnym zgonie noworodka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 Starsze potomstwo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Imię i nazwisko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 Rok urodzenia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Stan zdrowia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 -- Ewentualne przyczyny zgonu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Ewidencja grupy leków zużytych do operacji na podstawie planowanej procedury.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Skierowanie pacjenta z oddziału zabiegowego na Blok Operacyjny, stamtąd zlecenie (konkretnego badania) na Patomorfologię z ewidencją wycinków/ oznaczeniem materiałów wraz z opisem i wskazaniem OPK obciążanego. W Patomorfologii opis badania i raport z listą miesięcznie wykonanych badań wg OPK po poszczególnych kodach badań.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Realizacja badania histopatologicznego komercyjnego na podstawie cennika z kontrahentem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Możliwość ustalenia w ustawieniach Pracowni Patomorfologii, jaki OPK będzie obciążany w przypadku zleceń komercyjnych.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Przychodnia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Rejestracja: System musi umożliwić rejestrację pacjenta na wizytę (zaplanowaną w terminarzu i niezaplanowaną)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Gabinet lekarski: System musi informować o zleceniach wykonanych po zakończeniu poprzedniej wizyty i umożliwić rozliczenie ich w wizycie aktualnej, 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Rehabilitacja</w:t>
            </w:r>
          </w:p>
        </w:tc>
      </w:tr>
      <w:tr w:rsidR="00146A8E" w:rsidRPr="00726CB2" w:rsidTr="00E568BE">
        <w:trPr>
          <w:gridBefore w:val="1"/>
          <w:trHeight w:val="236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planowanie porad kontrolnych, w ramach programu, do lekarza prowadzącego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umożliwia oznaczenie realizacji zabiegów typu 'Trening rehabilitacyjny'. Prezentowana jest Karta treningowa, która jest listą parametrów treningowych oraz możliwy jest jej wydruk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umożliwia definiowane schematów planu leczenia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Zakażenia szpitalne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prowadzenie Rejestru podejrzeń ognisk epidemicznych,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wydruki na podstawie danych Rejestru podejrzeń ognisk epidemicznych,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Prowadzenie Rejestru zgłoszeń zachorowania (podejrzenia zachorowania) na chorobę przenoszoną drogą płciową, </w:t>
            </w:r>
          </w:p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wydruki na podstawie danych Rejestru zgłoszeń zachorowania (podejrzenia zachorowania) na chorobę przenoszoną drogą płciową,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Wprowadzanie kart oceny ryzyka zakażenia, indywidualnych kart zakażeń szpitalnych z uwzględnieniem badań z systemu potwierdzających wystąpienie zakażenia, a także z możliwością skonfigurowania, które badania o pozytywnym wyniku mają alertować o patogenie i proponować założenie karty na oddziale.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315"/>
        </w:trPr>
        <w:tc>
          <w:tcPr>
            <w:tcW w:w="949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57CC">
              <w:rPr>
                <w:rFonts w:ascii="Times New Roman" w:hAnsi="Times New Roman"/>
                <w:b/>
              </w:rPr>
              <w:t>Rozliczenia z NFZ</w:t>
            </w: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Moduł korzysta bezpośrednio z danych zaewidencjonowanych na oddziałach i w poradniach bez konieczności importu i kopiowania danych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1249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Moduł rozliczeń z NFZ umożliwia weryfikację i uzupełnianie zestawów świadczeń z przejściem do edycji danych pobytu i rozliczenia oraz z możliwością podglądu historii eksportów dla zestawów, wyników weryfikacji i podglądu XMLi. Z tego samego modułu możliwe wykonanie komunikacji z systemem NFZ z opcją próbnej walidacji, bez wysyłania danych do NFZ.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77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 xml:space="preserve">Możliwość wyszukiwania błędów weryfikacji i walidacji wewnętrznych i NFZ z dokładnością do pobytu z możliwością filtrowania i szukania konkretnych błędów dla zadanych umów, produktów. Możliwość przejścia do edycji pobytu z tego samego okna. 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3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OLE_LINK8"/>
            <w:bookmarkStart w:id="5" w:name="OLE_LINK9"/>
            <w:r w:rsidRPr="00DD57CC">
              <w:rPr>
                <w:rFonts w:ascii="Times New Roman" w:hAnsi="Times New Roman"/>
              </w:rPr>
              <w:t>Możliwość modyfikowania zbiorczego pozycji rozliczeniowych np. na inny produkt, świadczenie, czy umowę z automatyczną zmianą wersji rozliczenia.</w:t>
            </w:r>
            <w:bookmarkEnd w:id="4"/>
            <w:bookmarkEnd w:id="5"/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707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Przegląd realizacji umów z NFZ (wartościowo i punktowo) z zejściem do poszczególnych produktów, potem świadczeń i poszczególnych rozliczanych pobytów, wraz z przejściem do edycji stamtąd konkretnego pobytu i rozliczenia.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399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Musi istnieć możliwość rozliczenia pobytu, jeśli dane osobowe uległy zmianie w trakcie pobytu (hospitalizacji)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symulację ryczałtu PSZ.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Funkcjonalność Symulatora Ryczałtu PSZ zintegrowana powinna być z system dziedzinowym służącym do ewidencji i rozliczania umów z NFZ.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Symulator ryczałtu pozwala na:</w:t>
            </w:r>
          </w:p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pobranie wartości wykonania świadczeń z systemu dziedzinowego,</w:t>
            </w:r>
          </w:p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pobranie wartości dynamiki (wzrost/spadek) liczby świadczeń ambulatoryjnych z systemu dziedzinowego,</w:t>
            </w:r>
          </w:p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pobranie wartości dynamiki (wzrost/spadek) średniej wartości hospitalizacji z systemu dziedzinowego,</w:t>
            </w:r>
          </w:p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- wyliczanie prognozowanego ryczałtu w wzorów określonych w ww. rozporządzeniu.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46A8E" w:rsidRPr="00726CB2" w:rsidTr="006E584F">
        <w:trPr>
          <w:gridBefore w:val="1"/>
          <w:trHeight w:val="283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173" w:type="dxa"/>
            <w:shd w:val="clear" w:color="auto" w:fill="FFFFFF"/>
            <w:tcMar>
              <w:left w:w="0" w:type="dxa"/>
            </w:tcMar>
          </w:tcPr>
          <w:p w:rsidR="00146A8E" w:rsidRPr="00DD57CC" w:rsidRDefault="00146A8E" w:rsidP="00DD57CC">
            <w:pPr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7CC">
              <w:rPr>
                <w:rFonts w:ascii="Times New Roman" w:hAnsi="Times New Roman"/>
              </w:rPr>
              <w:t>System musi umożliwiać automatyczne rozliczenie psychiatrii z uwzględnieniem rozliczenia nieobecności pacjenta związanej z koniecznością leczenia w innym szpitalu z jednoczesną rezerwacją łóżka na oddziale psychiatrycznym ZOL.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8E" w:rsidRPr="00DD57CC" w:rsidRDefault="00146A8E" w:rsidP="00DD57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146A8E" w:rsidRPr="00E568BE" w:rsidRDefault="00146A8E" w:rsidP="007F1325">
      <w:pPr>
        <w:pStyle w:val="ListParagraph"/>
        <w:ind w:left="1080"/>
        <w:jc w:val="both"/>
        <w:rPr>
          <w:rFonts w:cs="Calibri"/>
          <w:i/>
          <w:color w:val="000000"/>
          <w:sz w:val="10"/>
          <w:szCs w:val="10"/>
        </w:rPr>
      </w:pPr>
    </w:p>
    <w:p w:rsidR="00146A8E" w:rsidRPr="00DD57CC" w:rsidRDefault="00146A8E" w:rsidP="00DD57C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pkt 11 otrzymuje brzmienie:</w:t>
      </w:r>
    </w:p>
    <w:p w:rsidR="00146A8E" w:rsidRPr="00DD57CC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DD57CC">
        <w:rPr>
          <w:rFonts w:ascii="Times New Roman" w:hAnsi="Times New Roman"/>
          <w:i/>
        </w:rPr>
        <w:t xml:space="preserve">“11) </w:t>
      </w:r>
      <w:bookmarkStart w:id="6" w:name="_Hlk521925525"/>
      <w:r w:rsidRPr="00DD57CC">
        <w:rPr>
          <w:rFonts w:ascii="Times New Roman" w:hAnsi="Times New Roman"/>
          <w:i/>
        </w:rPr>
        <w:t xml:space="preserve">Dostarczana próbka powinna zawierać funkcjonalności wskazane w tabeli znajdującej się w pkt 9 </w:t>
      </w:r>
      <w:r w:rsidRPr="00DD57CC">
        <w:rPr>
          <w:rFonts w:ascii="Times New Roman" w:hAnsi="Times New Roman"/>
          <w:i/>
          <w:color w:val="000000"/>
        </w:rPr>
        <w:t xml:space="preserve">powyżej. Każda z wymaganych funkcjonalności będzie weryfikowania przez członków Komisji powołanej przez Zamawiającego, na zasadzie „jest/brak”, „TAK/NIE”. </w:t>
      </w:r>
      <w:r w:rsidRPr="00DD57CC">
        <w:rPr>
          <w:rFonts w:ascii="Times New Roman" w:hAnsi="Times New Roman"/>
          <w:i/>
        </w:rPr>
        <w:t>W przypadku, gdy okaże się w czasie prezentacji próbki, że oferowany przez Wykonawcę system nie spełnia choć jednego z wymagań funkcjonalnych określonych w scenariuszu próbki, oferta Wykonawcy podlegać będzie odrzuceniu</w:t>
      </w:r>
      <w:bookmarkEnd w:id="6"/>
      <w:r w:rsidRPr="00DD57CC">
        <w:rPr>
          <w:rFonts w:ascii="Times New Roman" w:hAnsi="Times New Roman"/>
          <w:i/>
        </w:rPr>
        <w:t>.”</w:t>
      </w:r>
    </w:p>
    <w:p w:rsidR="00146A8E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DD57CC">
        <w:rPr>
          <w:rFonts w:ascii="Times New Roman" w:hAnsi="Times New Roman"/>
          <w:b/>
        </w:rPr>
        <w:t>Zmieniony załącznik nr 9 zostanie w dniu dzisiejszym zamieszczony na stronie internetowej Zamawiającego, na której zamieszczono ogłoszenie o zamówieniu.</w:t>
      </w:r>
    </w:p>
    <w:p w:rsidR="00146A8E" w:rsidRPr="00DD57CC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146A8E" w:rsidRPr="00DD57CC" w:rsidRDefault="00146A8E" w:rsidP="00DD57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DD57CC">
        <w:rPr>
          <w:rFonts w:ascii="Times New Roman" w:hAnsi="Times New Roman"/>
          <w:b/>
          <w:u w:val="single"/>
        </w:rPr>
        <w:t>Załącznika nr 2a do SIWZ gdzie:</w:t>
      </w:r>
    </w:p>
    <w:p w:rsidR="00146A8E" w:rsidRPr="00DD57CC" w:rsidRDefault="00146A8E" w:rsidP="00DD57C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wprowadza zmiany opisane w odpowiedziach na pytania  od 2 do 13  oraz  27, 29, 36, 59, 60, 61, 62 63, 64, 65, 66, 67, 69, 71, 74, 78, 79, 81, 85, 86, 91, 93 i  95 opublikowanych w dniu 17.08.2018</w:t>
      </w:r>
    </w:p>
    <w:p w:rsidR="00146A8E" w:rsidRPr="00DD57CC" w:rsidRDefault="00146A8E" w:rsidP="00DD57C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w części 12 Zamawiający rozszerza opis integracji – dodane Załączniki nr 10a, 10b, 10c,</w:t>
      </w:r>
    </w:p>
    <w:p w:rsidR="00146A8E" w:rsidRPr="00DD57CC" w:rsidRDefault="00146A8E" w:rsidP="00DD57CC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w części 13 pkt 1 otrzymuje brzmienie:</w:t>
      </w:r>
    </w:p>
    <w:p w:rsidR="00146A8E" w:rsidRPr="00DD57CC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DD57CC">
        <w:rPr>
          <w:rFonts w:ascii="Times New Roman" w:hAnsi="Times New Roman"/>
          <w:i/>
          <w:color w:val="000000"/>
        </w:rPr>
        <w:t>„Zamawiający informuje, że nie posiada dokumentacji struktur baz danych posiadanych systemów. Na prośbę Wykonawcy, na podstawie art. 9a ust. 2 ustawy Pzp., Zamawiający umożliwi Wykonawcy dostęp do baz danych posiadanych systemów informatycznych (wizja lokalna) i możliwość zapoznania się ze strukturami tabel w bazach danych posiadanych systemów. Dostęp do baz danych posiadanych systemów informatycznych może być udzielony po uprzednim uzgodnieniu terminu wizyty Wykonawcy i po uregulowaniu zasad dostępu do chronionych danych osobowych. Zamawiający umożliwi Wykonawcy przeprowadzenie wizji lokalnej w dni robocze, pomiędzy godziną 10:00 a 13:00. Osobą odpowiedzialną po stronie Zamawiającego za uzgodnienie terminu wizji lokalnej jest Krzysztof Kałużny, Tomasz Bikowski, Tomasz Szałajko.”;</w:t>
      </w:r>
    </w:p>
    <w:p w:rsidR="00146A8E" w:rsidRPr="00DD57CC" w:rsidRDefault="00146A8E" w:rsidP="00DD57CC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w części 13 pkt 6 Zamawiający usuwa zdanie “</w:t>
      </w:r>
      <w:r w:rsidRPr="00DD57CC">
        <w:rPr>
          <w:rFonts w:ascii="Times New Roman" w:hAnsi="Times New Roman"/>
          <w:i/>
        </w:rPr>
        <w:t>Jeżeli na etapie analizy przedwdrożeniowej oraz weryfikacji kompletności i poprawności zgromadzonych danych w systemie okaże się, ze nie jest konieczne lub niezasadne migrowanie części obszarów danych, Zamawiający odstąpi od migracji zbędnych danych.”;</w:t>
      </w:r>
    </w:p>
    <w:p w:rsidR="00146A8E" w:rsidRPr="00DD57CC" w:rsidRDefault="00146A8E" w:rsidP="00DD57CC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w części 13 pkt 8 Zamawiający wykreśla słowo “</w:t>
      </w:r>
      <w:r w:rsidRPr="00DD57CC">
        <w:rPr>
          <w:rFonts w:ascii="Times New Roman" w:hAnsi="Times New Roman"/>
          <w:i/>
        </w:rPr>
        <w:t>minimum</w:t>
      </w:r>
      <w:r w:rsidRPr="00DD57CC">
        <w:rPr>
          <w:rFonts w:ascii="Times New Roman" w:hAnsi="Times New Roman"/>
        </w:rPr>
        <w:t>”;</w:t>
      </w:r>
    </w:p>
    <w:p w:rsidR="00146A8E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DD57CC">
        <w:rPr>
          <w:rFonts w:ascii="Times New Roman" w:hAnsi="Times New Roman"/>
          <w:b/>
        </w:rPr>
        <w:t>Zmieniony załącznik nr 2a zostanie w dniu dzisiejszym zamieszczony na stronie internetowej Zamawiającego, na której zamieszczono ogłoszenie o zamówieniu.</w:t>
      </w:r>
    </w:p>
    <w:p w:rsidR="00146A8E" w:rsidRPr="00DD57CC" w:rsidRDefault="00146A8E" w:rsidP="00DD57CC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146A8E" w:rsidRPr="00DD57CC" w:rsidRDefault="00146A8E" w:rsidP="00DD57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DD57CC">
        <w:rPr>
          <w:rFonts w:ascii="Times New Roman" w:hAnsi="Times New Roman"/>
          <w:b/>
          <w:u w:val="single"/>
        </w:rPr>
        <w:t>Załącznika 2b do SIWZ gdzie:</w:t>
      </w:r>
    </w:p>
    <w:p w:rsidR="00146A8E" w:rsidRPr="00DD57CC" w:rsidRDefault="00146A8E" w:rsidP="00DD57CC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 xml:space="preserve">wprowadza zmiany opisane w odpowiedzi na pytanie 49 opublikowanej w dniu 17.08.2018 </w:t>
      </w: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DD57CC">
        <w:rPr>
          <w:rFonts w:ascii="Times New Roman" w:hAnsi="Times New Roman"/>
          <w:b/>
        </w:rPr>
        <w:t>Zmieniony załącznik nr 2b zostanie w dniu dzisiejszym zamieszczony na stronie internetowej Zamawiającego, na której zamieszczono ogłoszenie o zamówieniu.</w:t>
      </w:r>
    </w:p>
    <w:p w:rsidR="00146A8E" w:rsidRPr="00DD57CC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146A8E" w:rsidRPr="00DD57CC" w:rsidRDefault="00146A8E" w:rsidP="00DD57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DD57CC">
        <w:rPr>
          <w:rFonts w:ascii="Times New Roman" w:hAnsi="Times New Roman"/>
          <w:b/>
          <w:u w:val="single"/>
        </w:rPr>
        <w:t>Załącznika 2c do SIWZ gdzie:</w:t>
      </w:r>
    </w:p>
    <w:p w:rsidR="00146A8E" w:rsidRPr="00DD57CC" w:rsidRDefault="00146A8E" w:rsidP="00DD57CC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u w:val="single"/>
        </w:rPr>
      </w:pPr>
      <w:r w:rsidRPr="00DD57CC">
        <w:rPr>
          <w:rFonts w:ascii="Times New Roman" w:hAnsi="Times New Roman"/>
        </w:rPr>
        <w:t xml:space="preserve">wprowadza zmiany opisane w odpowiedziach na pytania  51, 52, 53, 54, 55, 56 i 57. </w:t>
      </w: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DD57CC">
        <w:rPr>
          <w:rFonts w:ascii="Times New Roman" w:hAnsi="Times New Roman"/>
          <w:b/>
        </w:rPr>
        <w:t>Zmieniony załącznik nr 2c zostanie w dniu dzisiejszym zamieszczony na stronie internetowej Zamawiającego, na której zamieszczono ogłoszenie o zamówieniu.</w:t>
      </w:r>
    </w:p>
    <w:p w:rsidR="00146A8E" w:rsidRPr="00DD57CC" w:rsidRDefault="00146A8E" w:rsidP="00DD57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u w:val="single"/>
        </w:rPr>
      </w:pPr>
      <w:r w:rsidRPr="00DD57CC">
        <w:rPr>
          <w:rFonts w:ascii="Times New Roman" w:hAnsi="Times New Roman"/>
          <w:b/>
          <w:u w:val="single"/>
        </w:rPr>
        <w:t>Załącznika nr 7 do SIWZ wzoru umowy gdzie:</w:t>
      </w:r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bookmarkStart w:id="7" w:name="_Hlk522001156"/>
      <w:r w:rsidRPr="00DD57CC">
        <w:rPr>
          <w:rFonts w:ascii="Times New Roman" w:hAnsi="Times New Roman"/>
        </w:rPr>
        <w:t>Zamawiający dodaje w § 7 ust. 12 wzoru umowy o brzmieniu:</w:t>
      </w:r>
    </w:p>
    <w:p w:rsidR="00146A8E" w:rsidRPr="00DD57CC" w:rsidRDefault="00146A8E" w:rsidP="00DD57C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„</w:t>
      </w:r>
      <w:bookmarkStart w:id="8" w:name="_Hlk522001103"/>
      <w:r w:rsidRPr="00DD57CC">
        <w:rPr>
          <w:rFonts w:ascii="Times New Roman" w:hAnsi="Times New Roman"/>
        </w:rPr>
        <w:t>Zamawiający w terminie 14 dni podejmie decyzję w sprawie odbioru przez Zamawiającego zadania licząc od dnia zgłoszenia gotowości do odbioru.”;</w:t>
      </w:r>
      <w:bookmarkEnd w:id="8"/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Zamawiający dodaje w § 11 ust. 6 wzoru umowy o następującej treści:</w:t>
      </w:r>
    </w:p>
    <w:p w:rsidR="00146A8E" w:rsidRPr="00DD57CC" w:rsidRDefault="00146A8E" w:rsidP="00DD57C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„</w:t>
      </w:r>
      <w:r w:rsidRPr="00DD57CC">
        <w:rPr>
          <w:rFonts w:ascii="Times New Roman" w:hAnsi="Times New Roman"/>
          <w:i/>
        </w:rPr>
        <w:t>Strony oświadczają, że wszelka odpowiedzialność Wykonawcy z tytułu rękojmi, ulega wyłączeniu. Wykonawca za prawidłową realizację przedmiotu umowy odpowiada na zasadzie gwarancji udzielonej Zamawiającemu</w:t>
      </w:r>
      <w:r w:rsidRPr="00DD57CC">
        <w:rPr>
          <w:rFonts w:ascii="Times New Roman" w:hAnsi="Times New Roman"/>
        </w:rPr>
        <w:t>”.;</w:t>
      </w:r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 xml:space="preserve">Zamawiający informuje, że Zamawiający informuje, że  zapisy § 14 wzoru umowy </w:t>
      </w:r>
      <w:r w:rsidRPr="00DD57CC">
        <w:rPr>
          <w:rFonts w:ascii="Times New Roman" w:hAnsi="Times New Roman"/>
        </w:rPr>
        <w:br/>
        <w:t xml:space="preserve">nie dotyczą specjalistów wymienionych w Rozdziale V ust. 1.2 pkt. 3b)  SIWZ, w związku </w:t>
      </w:r>
      <w:r w:rsidRPr="00DD57CC">
        <w:rPr>
          <w:rFonts w:ascii="Times New Roman" w:hAnsi="Times New Roman"/>
        </w:rPr>
        <w:br/>
        <w:t>z czym w § 14  ust. 1 wzoru umowy dodaje zdanie „</w:t>
      </w:r>
      <w:r w:rsidRPr="00DD57CC">
        <w:rPr>
          <w:rFonts w:ascii="Times New Roman" w:hAnsi="Times New Roman"/>
          <w:i/>
        </w:rPr>
        <w:t>Wymóg powyższy nie dotyczy: kierownika projektu, ekspertów ds. wdrożeń, specjalisty ds. baz danych,</w:t>
      </w:r>
      <w:r w:rsidRPr="00DD57CC">
        <w:rPr>
          <w:rFonts w:ascii="Times New Roman" w:hAnsi="Times New Roman"/>
          <w:i/>
        </w:rPr>
        <w:tab/>
        <w:t>specjalisty ds. bezpieczeństwa systemów informatycznych, osób odpowiedzialne za tworzenie i rozwój oprogramowania, specjalisty certyfikowanego przez producenta oferowanego sprzętu komputerowego i specjalistów ds. budowy sieci LAN</w:t>
      </w:r>
      <w:r w:rsidRPr="00DD57CC">
        <w:rPr>
          <w:rFonts w:ascii="Times New Roman" w:hAnsi="Times New Roman"/>
        </w:rPr>
        <w:t xml:space="preserve">”. </w:t>
      </w:r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Zamawiający wykreśla z § 15 ust. 7 słowa „lub dalszemu Podwykonawcy”.</w:t>
      </w:r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Zamawiający modyfikuje § 16 wzoru umowy poprzez wprowadzenie w miejsce słów „opóźnienie” słowa „zwłoka”;</w:t>
      </w:r>
    </w:p>
    <w:p w:rsidR="00146A8E" w:rsidRPr="00DD57CC" w:rsidRDefault="00146A8E" w:rsidP="00DD57CC">
      <w:pPr>
        <w:pStyle w:val="ListParagraph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 xml:space="preserve">§ 16 ust. 3 wzoru umowy otrzymuje brzmienie: </w:t>
      </w:r>
    </w:p>
    <w:p w:rsidR="00146A8E" w:rsidRPr="00DD57CC" w:rsidRDefault="00146A8E" w:rsidP="00DD57CC">
      <w:pPr>
        <w:pStyle w:val="ListParagraph"/>
        <w:spacing w:after="0" w:line="240" w:lineRule="auto"/>
        <w:jc w:val="both"/>
        <w:rPr>
          <w:rFonts w:ascii="Times New Roman" w:hAnsi="Times New Roman"/>
          <w:i/>
        </w:rPr>
      </w:pPr>
      <w:r w:rsidRPr="00DD57CC">
        <w:rPr>
          <w:rFonts w:ascii="Times New Roman" w:hAnsi="Times New Roman"/>
          <w:i/>
        </w:rPr>
        <w:t>„</w:t>
      </w:r>
      <w:r w:rsidRPr="00DD57CC">
        <w:rPr>
          <w:rFonts w:ascii="Times New Roman" w:hAnsi="Times New Roman"/>
          <w:i/>
          <w:iCs/>
          <w:lang w:eastAsia="pl-PL"/>
        </w:rPr>
        <w:t>W przypadku, gdy szkoda przewyższy wartość kar umownych, Zamawiający może żądać odszkodowania przenoszącego wartość kar umownych na zasadach ogólnych do wysokości poniesionej szkody, z zastrzeżeniem, że odpowiedzialność materialna Wykonawcy, wynikająca z niewykonania lub nienależytego wykonania przedmiotu Umowy, ograniczona jest do wysokości wynagrodzenia brutto określonego w § 12 ust. 1 Umowy. Odpowiedzialność z tytułu utraconych korzyści jest wyłączona”;</w:t>
      </w:r>
    </w:p>
    <w:p w:rsidR="00146A8E" w:rsidRPr="00DD57CC" w:rsidRDefault="00146A8E" w:rsidP="00DD57CC">
      <w:pPr>
        <w:numPr>
          <w:ilvl w:val="0"/>
          <w:numId w:val="16"/>
        </w:num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DD57CC">
        <w:rPr>
          <w:rFonts w:ascii="Times New Roman" w:hAnsi="Times New Roman"/>
        </w:rPr>
        <w:t>Zamawiający dodaje w § 16 ust. 6 umowy  o następującej treści:</w:t>
      </w:r>
    </w:p>
    <w:p w:rsidR="00146A8E" w:rsidRPr="00DD57CC" w:rsidRDefault="00146A8E" w:rsidP="00DD57CC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  <w:r w:rsidRPr="00DD57CC">
        <w:rPr>
          <w:rFonts w:ascii="Times New Roman" w:hAnsi="Times New Roman"/>
        </w:rPr>
        <w:t>„</w:t>
      </w:r>
      <w:r w:rsidRPr="00DD57CC">
        <w:rPr>
          <w:rFonts w:ascii="Times New Roman" w:hAnsi="Times New Roman"/>
          <w:i/>
        </w:rPr>
        <w:t>Całkowita odpowiedzialność odszkodowawcza Wykonawcy ograniczona jest do wysokości 100% wartości  z umowy brutto.”.</w:t>
      </w:r>
    </w:p>
    <w:bookmarkEnd w:id="7"/>
    <w:p w:rsidR="00146A8E" w:rsidRPr="00DD57CC" w:rsidRDefault="00146A8E" w:rsidP="00DD57CC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DD57CC">
        <w:rPr>
          <w:rFonts w:ascii="Times New Roman" w:hAnsi="Times New Roman"/>
          <w:b/>
        </w:rPr>
        <w:t>Zmieniony załącznik nr 7 zostanie w dniu dzisiejszym zamieszczony na stronie internetowej Zamawiającego, na której zamieszczono ogłoszenie o zamówieniu.</w:t>
      </w: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146A8E" w:rsidRDefault="00146A8E" w:rsidP="00DD57CC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146A8E" w:rsidRPr="004170C3" w:rsidRDefault="00146A8E" w:rsidP="004170C3">
      <w:pPr>
        <w:spacing w:after="0" w:line="240" w:lineRule="auto"/>
        <w:ind w:left="5760"/>
        <w:jc w:val="center"/>
        <w:rPr>
          <w:rFonts w:ascii="Times New Roman" w:hAnsi="Times New Roman"/>
        </w:rPr>
      </w:pPr>
      <w:r w:rsidRPr="004170C3">
        <w:rPr>
          <w:rFonts w:ascii="Times New Roman" w:hAnsi="Times New Roman"/>
        </w:rPr>
        <w:t>Przewodniczący</w:t>
      </w:r>
    </w:p>
    <w:p w:rsidR="00146A8E" w:rsidRPr="004170C3" w:rsidRDefault="00146A8E" w:rsidP="004170C3">
      <w:pPr>
        <w:spacing w:after="0" w:line="240" w:lineRule="auto"/>
        <w:ind w:left="5760"/>
        <w:jc w:val="center"/>
        <w:rPr>
          <w:rFonts w:ascii="Times New Roman" w:hAnsi="Times New Roman"/>
        </w:rPr>
      </w:pPr>
      <w:r w:rsidRPr="004170C3">
        <w:rPr>
          <w:rFonts w:ascii="Times New Roman" w:hAnsi="Times New Roman"/>
        </w:rPr>
        <w:t>Komisji Przetargowej</w:t>
      </w:r>
    </w:p>
    <w:sectPr w:rsidR="00146A8E" w:rsidRPr="004170C3" w:rsidSect="0084215B">
      <w:footerReference w:type="even" r:id="rId8"/>
      <w:footerReference w:type="default" r:id="rId9"/>
      <w:pgSz w:w="11906" w:h="16838"/>
      <w:pgMar w:top="1276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8E" w:rsidRDefault="00146A8E">
      <w:r>
        <w:separator/>
      </w:r>
    </w:p>
  </w:endnote>
  <w:endnote w:type="continuationSeparator" w:id="0">
    <w:p w:rsidR="00146A8E" w:rsidRDefault="0014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8E" w:rsidRDefault="00146A8E" w:rsidP="006E5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A8E" w:rsidRDefault="00146A8E" w:rsidP="006E584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8E" w:rsidRDefault="00146A8E" w:rsidP="006E5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6A8E" w:rsidRDefault="00146A8E" w:rsidP="006E584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8E" w:rsidRDefault="00146A8E">
      <w:r>
        <w:separator/>
      </w:r>
    </w:p>
  </w:footnote>
  <w:footnote w:type="continuationSeparator" w:id="0">
    <w:p w:rsidR="00146A8E" w:rsidRDefault="00146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4D8"/>
    <w:multiLevelType w:val="multilevel"/>
    <w:tmpl w:val="ED8CC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1E0A233C"/>
    <w:multiLevelType w:val="multilevel"/>
    <w:tmpl w:val="DF684B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26A24183"/>
    <w:multiLevelType w:val="hybridMultilevel"/>
    <w:tmpl w:val="0FCC67CE"/>
    <w:lvl w:ilvl="0" w:tplc="C85E7A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C2875"/>
    <w:multiLevelType w:val="hybridMultilevel"/>
    <w:tmpl w:val="AB16F396"/>
    <w:lvl w:ilvl="0" w:tplc="4ED263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5E2569C"/>
    <w:multiLevelType w:val="hybridMultilevel"/>
    <w:tmpl w:val="A3CEB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86EAB"/>
    <w:multiLevelType w:val="hybridMultilevel"/>
    <w:tmpl w:val="42DC44A8"/>
    <w:lvl w:ilvl="0" w:tplc="50C2A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AA2F73"/>
    <w:multiLevelType w:val="hybridMultilevel"/>
    <w:tmpl w:val="2E1C54EA"/>
    <w:lvl w:ilvl="0" w:tplc="DF5A0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/>
      </w:rPr>
    </w:lvl>
    <w:lvl w:ilvl="1" w:tplc="9B6E64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/>
      </w:rPr>
    </w:lvl>
    <w:lvl w:ilvl="2" w:tplc="C01C84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1F0FDA"/>
    <w:multiLevelType w:val="hybridMultilevel"/>
    <w:tmpl w:val="47808F1C"/>
    <w:lvl w:ilvl="0" w:tplc="DF5A0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/>
      </w:rPr>
    </w:lvl>
    <w:lvl w:ilvl="1" w:tplc="C01C84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EB5C1D"/>
    <w:multiLevelType w:val="hybridMultilevel"/>
    <w:tmpl w:val="F6605016"/>
    <w:lvl w:ilvl="0" w:tplc="4AFE3E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FF3DD1"/>
    <w:multiLevelType w:val="multilevel"/>
    <w:tmpl w:val="8DBCCB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441E71DA"/>
    <w:multiLevelType w:val="hybridMultilevel"/>
    <w:tmpl w:val="4648A2D8"/>
    <w:lvl w:ilvl="0" w:tplc="ADFAC0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5644BE8"/>
    <w:multiLevelType w:val="hybridMultilevel"/>
    <w:tmpl w:val="707CD2B0"/>
    <w:lvl w:ilvl="0" w:tplc="EC5AC2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C27137"/>
    <w:multiLevelType w:val="hybridMultilevel"/>
    <w:tmpl w:val="AB16F396"/>
    <w:lvl w:ilvl="0" w:tplc="4ED263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AB330D"/>
    <w:multiLevelType w:val="multilevel"/>
    <w:tmpl w:val="4FF84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4">
    <w:nsid w:val="606D04BA"/>
    <w:multiLevelType w:val="hybridMultilevel"/>
    <w:tmpl w:val="DD8A9B50"/>
    <w:lvl w:ilvl="0" w:tplc="D1880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306AB0"/>
    <w:multiLevelType w:val="hybridMultilevel"/>
    <w:tmpl w:val="4648A2D8"/>
    <w:lvl w:ilvl="0" w:tplc="ADFAC0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9655E75"/>
    <w:multiLevelType w:val="hybridMultilevel"/>
    <w:tmpl w:val="0DA84B80"/>
    <w:lvl w:ilvl="0" w:tplc="53F2E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030133"/>
    <w:multiLevelType w:val="hybridMultilevel"/>
    <w:tmpl w:val="F6605016"/>
    <w:lvl w:ilvl="0" w:tplc="4AFE3E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D51"/>
    <w:rsid w:val="000D4903"/>
    <w:rsid w:val="00146A8E"/>
    <w:rsid w:val="001509FE"/>
    <w:rsid w:val="0019698F"/>
    <w:rsid w:val="001D6447"/>
    <w:rsid w:val="0021525E"/>
    <w:rsid w:val="00242A06"/>
    <w:rsid w:val="002540D0"/>
    <w:rsid w:val="00293AE6"/>
    <w:rsid w:val="002C4E1E"/>
    <w:rsid w:val="00331D85"/>
    <w:rsid w:val="00383F2E"/>
    <w:rsid w:val="003C4B53"/>
    <w:rsid w:val="00402576"/>
    <w:rsid w:val="004170C3"/>
    <w:rsid w:val="0049785A"/>
    <w:rsid w:val="004A7EC5"/>
    <w:rsid w:val="004F28E2"/>
    <w:rsid w:val="00554C02"/>
    <w:rsid w:val="00561C98"/>
    <w:rsid w:val="005B6299"/>
    <w:rsid w:val="005D5969"/>
    <w:rsid w:val="005F4F81"/>
    <w:rsid w:val="00604DF8"/>
    <w:rsid w:val="00634159"/>
    <w:rsid w:val="00644F7A"/>
    <w:rsid w:val="006712A9"/>
    <w:rsid w:val="00682436"/>
    <w:rsid w:val="006D0A31"/>
    <w:rsid w:val="006E584F"/>
    <w:rsid w:val="006F4FCB"/>
    <w:rsid w:val="00726CB2"/>
    <w:rsid w:val="007431EF"/>
    <w:rsid w:val="00746E36"/>
    <w:rsid w:val="0075098B"/>
    <w:rsid w:val="0077088C"/>
    <w:rsid w:val="00775DE8"/>
    <w:rsid w:val="007832D4"/>
    <w:rsid w:val="007F1325"/>
    <w:rsid w:val="0084215B"/>
    <w:rsid w:val="00887412"/>
    <w:rsid w:val="008A5CD3"/>
    <w:rsid w:val="008F0F9D"/>
    <w:rsid w:val="00926BE6"/>
    <w:rsid w:val="009B57A4"/>
    <w:rsid w:val="00A40EE2"/>
    <w:rsid w:val="00AB4E58"/>
    <w:rsid w:val="00B40131"/>
    <w:rsid w:val="00B52F83"/>
    <w:rsid w:val="00B61A7C"/>
    <w:rsid w:val="00BD5A08"/>
    <w:rsid w:val="00C52D51"/>
    <w:rsid w:val="00C66663"/>
    <w:rsid w:val="00C91ED2"/>
    <w:rsid w:val="00CD3ACE"/>
    <w:rsid w:val="00DD57CC"/>
    <w:rsid w:val="00DF40CF"/>
    <w:rsid w:val="00DF6E70"/>
    <w:rsid w:val="00E568BE"/>
    <w:rsid w:val="00ED5F44"/>
    <w:rsid w:val="00ED7F09"/>
    <w:rsid w:val="00EF44B7"/>
    <w:rsid w:val="00F0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3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3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32D4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832D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4903"/>
    <w:rPr>
      <w:b/>
      <w:bCs/>
    </w:rPr>
  </w:style>
  <w:style w:type="paragraph" w:styleId="Caption">
    <w:name w:val="caption"/>
    <w:basedOn w:val="Normal"/>
    <w:next w:val="Normal"/>
    <w:link w:val="CaptionChar"/>
    <w:uiPriority w:val="99"/>
    <w:qFormat/>
    <w:rsid w:val="00331D85"/>
    <w:pPr>
      <w:spacing w:line="240" w:lineRule="auto"/>
    </w:pPr>
    <w:rPr>
      <w:rFonts w:eastAsia="Times New Roman"/>
      <w:b/>
      <w:iCs/>
      <w:color w:val="000000"/>
      <w:sz w:val="20"/>
      <w:szCs w:val="18"/>
      <w:lang w:eastAsia="pl-PL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331D85"/>
    <w:rPr>
      <w:rFonts w:eastAsia="Times New Roman" w:cs="Times New Roman"/>
      <w:b/>
      <w:iCs/>
      <w:color w:val="000000"/>
      <w:sz w:val="18"/>
      <w:szCs w:val="18"/>
      <w:lang w:eastAsia="pl-PL"/>
    </w:rPr>
  </w:style>
  <w:style w:type="paragraph" w:customStyle="1" w:styleId="Tekstpodstawowy21">
    <w:name w:val="Tekst podstawowy 21"/>
    <w:basedOn w:val="Normal"/>
    <w:uiPriority w:val="99"/>
    <w:rsid w:val="00ED5F4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6E58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E58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12</Pages>
  <Words>4251</Words>
  <Characters>25506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Tomala</dc:creator>
  <cp:keywords/>
  <dc:description/>
  <cp:lastModifiedBy>spszoz</cp:lastModifiedBy>
  <cp:revision>15</cp:revision>
  <cp:lastPrinted>2018-08-17T11:10:00Z</cp:lastPrinted>
  <dcterms:created xsi:type="dcterms:W3CDTF">2018-08-13T11:41:00Z</dcterms:created>
  <dcterms:modified xsi:type="dcterms:W3CDTF">2018-08-17T11:17:00Z</dcterms:modified>
</cp:coreProperties>
</file>