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2A" w:rsidRDefault="0070452A" w:rsidP="0070452A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1</w:t>
      </w:r>
      <w:r>
        <w:rPr>
          <w:rFonts w:ascii="Times New Roman" w:hAnsi="Times New Roman" w:cs="Times New Roman"/>
          <w:b/>
        </w:rPr>
        <w:tab/>
      </w:r>
      <w:r w:rsidRPr="0070452A">
        <w:rPr>
          <w:rFonts w:ascii="Times New Roman" w:hAnsi="Times New Roman" w:cs="Times New Roman"/>
          <w:b/>
        </w:rPr>
        <w:t>Zadanie nr 9</w:t>
      </w:r>
    </w:p>
    <w:p w:rsidR="00DC68FF" w:rsidRDefault="0070452A" w:rsidP="0070452A">
      <w:pPr>
        <w:tabs>
          <w:tab w:val="left" w:pos="2893"/>
        </w:tabs>
        <w:jc w:val="center"/>
        <w:rPr>
          <w:rFonts w:ascii="Times New Roman" w:hAnsi="Times New Roman" w:cs="Times New Roman"/>
          <w:b/>
        </w:rPr>
      </w:pPr>
      <w:r w:rsidRPr="0070452A">
        <w:rPr>
          <w:rFonts w:ascii="Times New Roman" w:hAnsi="Times New Roman" w:cs="Times New Roman"/>
          <w:b/>
        </w:rPr>
        <w:t>ZES</w:t>
      </w:r>
      <w:r w:rsidR="00833358">
        <w:rPr>
          <w:rFonts w:ascii="Times New Roman" w:hAnsi="Times New Roman" w:cs="Times New Roman"/>
          <w:b/>
        </w:rPr>
        <w:t>TAWIENIE WYMAGANYCH PARAMETRÓW</w:t>
      </w:r>
      <w:r w:rsidRPr="0070452A">
        <w:rPr>
          <w:rFonts w:ascii="Times New Roman" w:hAnsi="Times New Roman" w:cs="Times New Roman"/>
          <w:b/>
        </w:rPr>
        <w:t xml:space="preserve"> JAKOŚCIOWYCH I FUNKCJONALNYCH</w:t>
      </w:r>
    </w:p>
    <w:tbl>
      <w:tblPr>
        <w:tblStyle w:val="Tabela-Siatka"/>
        <w:tblW w:w="0" w:type="auto"/>
        <w:tblLook w:val="04A0"/>
      </w:tblPr>
      <w:tblGrid>
        <w:gridCol w:w="610"/>
        <w:gridCol w:w="5463"/>
        <w:gridCol w:w="1650"/>
        <w:gridCol w:w="1563"/>
      </w:tblGrid>
      <w:tr w:rsidR="0070452A" w:rsidTr="00833358">
        <w:tc>
          <w:tcPr>
            <w:tcW w:w="610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63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1651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1564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oferowane tak/nie</w:t>
            </w:r>
          </w:p>
          <w:p w:rsidR="00AF7FE4" w:rsidRDefault="00AF7FE4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(opisać)</w:t>
            </w:r>
          </w:p>
        </w:tc>
      </w:tr>
      <w:tr w:rsidR="0070452A" w:rsidTr="00833358">
        <w:tc>
          <w:tcPr>
            <w:tcW w:w="610" w:type="dxa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463" w:type="dxa"/>
          </w:tcPr>
          <w:p w:rsidR="0070452A" w:rsidRP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452A">
              <w:rPr>
                <w:rFonts w:ascii="Times New Roman" w:hAnsi="Times New Roman" w:cs="Times New Roman"/>
                <w:b/>
              </w:rPr>
              <w:t>Butelki do posiewów krwi - pozycje 1 - 5</w:t>
            </w:r>
          </w:p>
        </w:tc>
        <w:tc>
          <w:tcPr>
            <w:tcW w:w="3215" w:type="dxa"/>
            <w:gridSpan w:val="2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52A" w:rsidTr="00833358">
        <w:tc>
          <w:tcPr>
            <w:tcW w:w="610" w:type="dxa"/>
            <w:vAlign w:val="center"/>
          </w:tcPr>
          <w:p w:rsidR="0070452A" w:rsidRP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 w:rsidRPr="00704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3" w:type="dxa"/>
          </w:tcPr>
          <w:p w:rsidR="0070452A" w:rsidRPr="0070452A" w:rsidRDefault="0070452A" w:rsidP="0070452A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0452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Podłoża   hodowlane dostosowane  do   próżniowego   pobierania   krwi   bezpośrednio  do  butelek  za  pomocą  specjalnych zestawów  - </w:t>
            </w:r>
            <w:r w:rsidRPr="0070452A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  <w:t xml:space="preserve">( standardowy uchwyt  o  średnicy 16 mm + wężyk +  igła  motylkowa z  zabezpieczeniem  przed zakłuciem)   -  kompatybilność  butelek  z  systemem próżniowymi  pobierania  krwi  stosowanym  </w:t>
            </w:r>
            <w:r w:rsidRPr="0070452A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  <w:t>w  Szpitalu   (brak  konieczności  stosowania szerszych  nakładek  oraz  wkładek  adaptujących do standardu  średnicy  probówek) .</w:t>
            </w:r>
          </w:p>
        </w:tc>
        <w:tc>
          <w:tcPr>
            <w:tcW w:w="1651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 w:rsidRPr="00C876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52A" w:rsidTr="00833358">
        <w:tc>
          <w:tcPr>
            <w:tcW w:w="610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3" w:type="dxa"/>
          </w:tcPr>
          <w:p w:rsidR="0070452A" w:rsidRPr="00C876E6" w:rsidRDefault="00C876E6" w:rsidP="00C876E6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t>Możliwość  ocen  preparatów  bezpośrednich </w:t>
            </w:r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  <w:t>z  pozytywnych oraz  podejrzanych  hodowli -  brak  substancji  interferujących  i   zaciemniających  preparat ( węgiel aktywny).</w:t>
            </w:r>
          </w:p>
        </w:tc>
        <w:tc>
          <w:tcPr>
            <w:tcW w:w="1651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 w:rsidRPr="00C876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70452A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52A" w:rsidTr="00833358">
        <w:tc>
          <w:tcPr>
            <w:tcW w:w="610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3" w:type="dxa"/>
          </w:tcPr>
          <w:p w:rsidR="0070452A" w:rsidRPr="00C876E6" w:rsidRDefault="00C876E6" w:rsidP="00C876E6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Możliwość  pobrania  materiału  i wykonania  bezpośrednio z  dodatnich  podłoży  hodowlanych   identyfikacji oraz oceny </w:t>
            </w:r>
            <w:proofErr w:type="spellStart"/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t>lekowrażliwości</w:t>
            </w:r>
            <w:proofErr w:type="spellEnd"/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drobnoustrojów za pomocą  probówki z żelem separującym (skrócenie czasu oczekiwania na wynik badania o 24h) .</w:t>
            </w:r>
          </w:p>
        </w:tc>
        <w:tc>
          <w:tcPr>
            <w:tcW w:w="1651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70452A" w:rsidRPr="00C876E6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52A" w:rsidTr="00833358">
        <w:tc>
          <w:tcPr>
            <w:tcW w:w="610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3" w:type="dxa"/>
          </w:tcPr>
          <w:p w:rsidR="0070452A" w:rsidRPr="00C876E6" w:rsidRDefault="00C876E6" w:rsidP="00C876E6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876E6">
              <w:rPr>
                <w:rFonts w:ascii="Times New Roman" w:eastAsia="Times New Roman" w:hAnsi="Times New Roman" w:cs="Times New Roman"/>
                <w:iCs/>
                <w:lang w:eastAsia="pl-PL"/>
              </w:rPr>
              <w:t>Możliwość   opóźnionego  wkładania  butelek  do  aparatu  (do 48 h)  bez  uszczerbku  na  wykrywalności  drobnoustrojów</w:t>
            </w:r>
          </w:p>
        </w:tc>
        <w:tc>
          <w:tcPr>
            <w:tcW w:w="1651" w:type="dxa"/>
            <w:vAlign w:val="center"/>
          </w:tcPr>
          <w:p w:rsidR="0070452A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70452A" w:rsidRPr="00C876E6" w:rsidRDefault="0070452A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E6" w:rsidTr="00833358">
        <w:tc>
          <w:tcPr>
            <w:tcW w:w="610" w:type="dxa"/>
            <w:vAlign w:val="center"/>
          </w:tcPr>
          <w:p w:rsidR="00C876E6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6E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463" w:type="dxa"/>
          </w:tcPr>
          <w:p w:rsidR="00C876E6" w:rsidRPr="00C876E6" w:rsidRDefault="00C876E6" w:rsidP="00C876E6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876E6">
              <w:rPr>
                <w:rFonts w:ascii="Times New Roman" w:hAnsi="Times New Roman" w:cs="Times New Roman"/>
                <w:b/>
              </w:rPr>
              <w:t xml:space="preserve">Krążki do określenia </w:t>
            </w:r>
            <w:proofErr w:type="spellStart"/>
            <w:r w:rsidRPr="00C876E6">
              <w:rPr>
                <w:rFonts w:ascii="Times New Roman" w:hAnsi="Times New Roman" w:cs="Times New Roman"/>
                <w:b/>
              </w:rPr>
              <w:t>lekowrażliwości</w:t>
            </w:r>
            <w:proofErr w:type="spellEnd"/>
            <w:r w:rsidRPr="00C876E6">
              <w:rPr>
                <w:rFonts w:ascii="Times New Roman" w:hAnsi="Times New Roman" w:cs="Times New Roman"/>
                <w:b/>
              </w:rPr>
              <w:t xml:space="preserve"> drobnoustrojów metodą </w:t>
            </w:r>
            <w:proofErr w:type="spellStart"/>
            <w:r w:rsidRPr="00C876E6">
              <w:rPr>
                <w:rFonts w:ascii="Times New Roman" w:hAnsi="Times New Roman" w:cs="Times New Roman"/>
                <w:b/>
              </w:rPr>
              <w:t>Kürby</w:t>
            </w:r>
            <w:proofErr w:type="spellEnd"/>
            <w:r w:rsidRPr="00C876E6">
              <w:rPr>
                <w:rFonts w:ascii="Times New Roman" w:hAnsi="Times New Roman" w:cs="Times New Roman"/>
                <w:b/>
              </w:rPr>
              <w:t xml:space="preserve"> Bauera</w:t>
            </w:r>
            <w:r w:rsidRPr="00C876E6">
              <w:rPr>
                <w:rFonts w:ascii="Times New Roman" w:hAnsi="Times New Roman" w:cs="Times New Roman"/>
                <w:b/>
              </w:rPr>
              <w:br/>
              <w:t>- pozycje 6 -72</w:t>
            </w:r>
          </w:p>
        </w:tc>
        <w:tc>
          <w:tcPr>
            <w:tcW w:w="3215" w:type="dxa"/>
            <w:gridSpan w:val="2"/>
            <w:vAlign w:val="center"/>
          </w:tcPr>
          <w:p w:rsidR="00C876E6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E6" w:rsidTr="00833358">
        <w:tc>
          <w:tcPr>
            <w:tcW w:w="610" w:type="dxa"/>
            <w:vAlign w:val="center"/>
          </w:tcPr>
          <w:p w:rsidR="00C876E6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3" w:type="dxa"/>
          </w:tcPr>
          <w:p w:rsidR="00C876E6" w:rsidRPr="00AF7FE4" w:rsidRDefault="00AF7FE4" w:rsidP="00AF7FE4">
            <w:pPr>
              <w:tabs>
                <w:tab w:val="left" w:pos="313"/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Każda   fiolka   musi  posiadać  ostatni  krążek  fabrycznie   oznaczony  symbolem  "x" (tą samą  technologią  co  stężenie antybiotyku), pełniący  funkcję kontroli napełnien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ia fiolek i   zabezpieczający </w:t>
            </w:r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dyspenser przed pracą z pustymi kasetami  (uszkodzeniem).</w:t>
            </w:r>
          </w:p>
        </w:tc>
        <w:tc>
          <w:tcPr>
            <w:tcW w:w="1651" w:type="dxa"/>
            <w:vAlign w:val="center"/>
          </w:tcPr>
          <w:p w:rsidR="00C876E6" w:rsidRPr="00C876E6" w:rsidRDefault="00AF7FE4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C876E6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E6" w:rsidTr="00833358">
        <w:tc>
          <w:tcPr>
            <w:tcW w:w="610" w:type="dxa"/>
            <w:vAlign w:val="center"/>
          </w:tcPr>
          <w:p w:rsidR="00C876E6" w:rsidRPr="00C876E6" w:rsidRDefault="00AF7FE4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3" w:type="dxa"/>
          </w:tcPr>
          <w:p w:rsidR="00C876E6" w:rsidRPr="00AF7FE4" w:rsidRDefault="00AF7FE4" w:rsidP="00AF7FE4">
            <w:pPr>
              <w:tabs>
                <w:tab w:val="left" w:pos="28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Krążki antybiotykowe  kompatybilne  z dyspenserem  firmy  </w:t>
            </w:r>
            <w:proofErr w:type="spellStart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Becton</w:t>
            </w:r>
            <w:proofErr w:type="spellEnd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Dickinson, </w:t>
            </w:r>
            <w:proofErr w:type="spellStart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któret</w:t>
            </w:r>
            <w:proofErr w:type="spellEnd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  są posiadaniu  Zamawiającego. W  przypadku  oferowania  krążków  innych  niż  </w:t>
            </w:r>
            <w:proofErr w:type="spellStart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Becton</w:t>
            </w:r>
            <w:proofErr w:type="spellEnd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Dickinson, wymagane  jest   oświadczenie  producenta  dyspenserów   lub  jego przedstawicielstwa  w  Polsce,  że  oferowane  krążki   mogą  współpracować  z  dozownikami  firmy  </w:t>
            </w:r>
            <w:proofErr w:type="spellStart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>Becton</w:t>
            </w:r>
            <w:proofErr w:type="spellEnd"/>
            <w:r w:rsidRPr="00AF7FE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Dickinson  bez  groźby  ich  uszkodzenia lub nieodpłatne wstawienie dyspenserów innego producenta.</w:t>
            </w:r>
          </w:p>
        </w:tc>
        <w:tc>
          <w:tcPr>
            <w:tcW w:w="1651" w:type="dxa"/>
            <w:vAlign w:val="center"/>
          </w:tcPr>
          <w:p w:rsidR="00C876E6" w:rsidRPr="00C876E6" w:rsidRDefault="00AF7FE4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4" w:type="dxa"/>
            <w:vAlign w:val="center"/>
          </w:tcPr>
          <w:p w:rsidR="00C876E6" w:rsidRPr="00C876E6" w:rsidRDefault="00C876E6" w:rsidP="0070452A">
            <w:pPr>
              <w:tabs>
                <w:tab w:val="left" w:pos="28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358" w:rsidRDefault="00833358" w:rsidP="00833358">
      <w:pPr>
        <w:spacing w:after="0" w:line="240" w:lineRule="auto"/>
        <w:rPr>
          <w:b/>
          <w:sz w:val="20"/>
          <w:szCs w:val="20"/>
        </w:rPr>
      </w:pPr>
    </w:p>
    <w:p w:rsidR="00833358" w:rsidRPr="00833358" w:rsidRDefault="00833358" w:rsidP="00833358">
      <w:pPr>
        <w:spacing w:after="0" w:line="240" w:lineRule="auto"/>
        <w:rPr>
          <w:rFonts w:ascii="Times New Roman" w:hAnsi="Times New Roman" w:cs="Times New Roman"/>
          <w:b/>
        </w:rPr>
      </w:pPr>
      <w:r w:rsidRPr="00833358">
        <w:rPr>
          <w:rFonts w:ascii="Times New Roman" w:hAnsi="Times New Roman" w:cs="Times New Roman"/>
          <w:b/>
        </w:rPr>
        <w:t>Niespełnienie  któregokolwiek z parametrów skutkuje odrzuceniem oferty przetargowej.</w:t>
      </w:r>
    </w:p>
    <w:p w:rsidR="00833358" w:rsidRDefault="00833358" w:rsidP="00833358">
      <w:pPr>
        <w:tabs>
          <w:tab w:val="left" w:pos="289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33358" w:rsidRDefault="00833358" w:rsidP="00833358">
      <w:pPr>
        <w:rPr>
          <w:rFonts w:ascii="Times New Roman" w:hAnsi="Times New Roman" w:cs="Times New Roman"/>
        </w:rPr>
      </w:pPr>
    </w:p>
    <w:p w:rsidR="00833358" w:rsidRPr="00833358" w:rsidRDefault="00833358" w:rsidP="00833358">
      <w:pPr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3358">
        <w:rPr>
          <w:rFonts w:ascii="Times New Roman" w:hAnsi="Times New Roman" w:cs="Times New Roman"/>
        </w:rPr>
        <w:t>……………………………                                              Podpis i pieczątka upoważnionego przedstawiciela</w:t>
      </w:r>
    </w:p>
    <w:p w:rsidR="0070452A" w:rsidRPr="00833358" w:rsidRDefault="0070452A" w:rsidP="00833358">
      <w:pPr>
        <w:tabs>
          <w:tab w:val="left" w:pos="6286"/>
        </w:tabs>
        <w:rPr>
          <w:rFonts w:ascii="Times New Roman" w:hAnsi="Times New Roman" w:cs="Times New Roman"/>
        </w:rPr>
      </w:pPr>
    </w:p>
    <w:sectPr w:rsidR="0070452A" w:rsidRPr="00833358" w:rsidSect="00833358">
      <w:footerReference w:type="default" r:id="rId6"/>
      <w:pgSz w:w="11906" w:h="16838"/>
      <w:pgMar w:top="567" w:right="1418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58" w:rsidRDefault="00833358" w:rsidP="00833358">
      <w:pPr>
        <w:spacing w:after="0" w:line="240" w:lineRule="auto"/>
      </w:pPr>
      <w:r>
        <w:separator/>
      </w:r>
    </w:p>
  </w:endnote>
  <w:endnote w:type="continuationSeparator" w:id="0">
    <w:p w:rsidR="00833358" w:rsidRDefault="00833358" w:rsidP="008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58" w:rsidRPr="00833358" w:rsidRDefault="00833358" w:rsidP="00833358">
    <w:pPr>
      <w:pStyle w:val="Stopka"/>
      <w:jc w:val="center"/>
      <w:rPr>
        <w:rFonts w:ascii="Times New Roman" w:hAnsi="Times New Roman" w:cs="Times New Roman"/>
      </w:rPr>
    </w:pPr>
    <w:proofErr w:type="spellStart"/>
    <w:r w:rsidRPr="00833358">
      <w:rPr>
        <w:rFonts w:ascii="Times New Roman" w:hAnsi="Times New Roman" w:cs="Times New Roman"/>
      </w:rPr>
      <w:t>ZP-PN</w:t>
    </w:r>
    <w:proofErr w:type="spellEnd"/>
    <w:r w:rsidRPr="00833358">
      <w:rPr>
        <w:rFonts w:ascii="Times New Roman" w:hAnsi="Times New Roman" w:cs="Times New Roman"/>
      </w:rPr>
      <w:t>/86/14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58" w:rsidRDefault="00833358" w:rsidP="00833358">
      <w:pPr>
        <w:spacing w:after="0" w:line="240" w:lineRule="auto"/>
      </w:pPr>
      <w:r>
        <w:separator/>
      </w:r>
    </w:p>
  </w:footnote>
  <w:footnote w:type="continuationSeparator" w:id="0">
    <w:p w:rsidR="00833358" w:rsidRDefault="00833358" w:rsidP="0083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452A"/>
    <w:rsid w:val="004A51B5"/>
    <w:rsid w:val="0070452A"/>
    <w:rsid w:val="00833358"/>
    <w:rsid w:val="00AF7FE4"/>
    <w:rsid w:val="00C876E6"/>
    <w:rsid w:val="00D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3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358"/>
  </w:style>
  <w:style w:type="paragraph" w:styleId="Stopka">
    <w:name w:val="footer"/>
    <w:basedOn w:val="Normalny"/>
    <w:link w:val="StopkaZnak"/>
    <w:uiPriority w:val="99"/>
    <w:semiHidden/>
    <w:unhideWhenUsed/>
    <w:rsid w:val="0083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3</cp:revision>
  <dcterms:created xsi:type="dcterms:W3CDTF">2014-11-18T08:28:00Z</dcterms:created>
  <dcterms:modified xsi:type="dcterms:W3CDTF">2014-11-25T09:52:00Z</dcterms:modified>
</cp:coreProperties>
</file>